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D9" w:rsidRPr="002C0E6E" w:rsidRDefault="00F507D9" w:rsidP="00F507D9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</w:rPr>
      </w:pPr>
      <w:r w:rsidRPr="00146A17">
        <w:rPr>
          <w:rFonts w:ascii="Arial" w:hAnsi="Arial" w:cs="Arial"/>
          <w:i/>
        </w:rPr>
        <w:t>Załącznik nr 2 do SIWZ</w:t>
      </w:r>
    </w:p>
    <w:p w:rsidR="00F507D9" w:rsidRPr="00890B11" w:rsidRDefault="00F507D9" w:rsidP="00F507D9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F507D9" w:rsidRPr="00890B11" w:rsidRDefault="00F507D9" w:rsidP="00F507D9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F507D9" w:rsidRPr="00890B11" w:rsidRDefault="00F507D9" w:rsidP="00F507D9">
      <w:pPr>
        <w:spacing w:after="12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  <w:r>
        <w:rPr>
          <w:rFonts w:ascii="Arial" w:hAnsi="Arial" w:cs="Arial"/>
          <w:vertAlign w:val="superscript"/>
        </w:rPr>
        <w:t>1</w:t>
      </w:r>
    </w:p>
    <w:p w:rsidR="00F507D9" w:rsidRPr="002C0E6E" w:rsidRDefault="00F507D9" w:rsidP="00F507D9">
      <w:pPr>
        <w:spacing w:after="120" w:line="276" w:lineRule="auto"/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F507D9" w:rsidRPr="00890B11" w:rsidRDefault="00F507D9" w:rsidP="00F507D9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  <w:r>
        <w:rPr>
          <w:rFonts w:ascii="Arial" w:hAnsi="Arial" w:cs="Arial"/>
          <w:vertAlign w:val="superscript"/>
        </w:rPr>
        <w:t>1</w:t>
      </w:r>
    </w:p>
    <w:p w:rsidR="00F507D9" w:rsidRPr="00890B11" w:rsidRDefault="00F507D9" w:rsidP="00F507D9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F507D9" w:rsidRPr="00890B11" w:rsidRDefault="00F507D9" w:rsidP="00F507D9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  <w:r>
        <w:rPr>
          <w:rFonts w:ascii="Arial" w:hAnsi="Arial" w:cs="Arial"/>
          <w:vertAlign w:val="superscript"/>
        </w:rPr>
        <w:t>1</w:t>
      </w:r>
    </w:p>
    <w:p w:rsidR="00F507D9" w:rsidRDefault="00F507D9" w:rsidP="00F507D9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vertAlign w:val="superscript"/>
        </w:rPr>
        <w:t>1</w:t>
      </w:r>
    </w:p>
    <w:p w:rsidR="00F507D9" w:rsidRPr="002C0E6E" w:rsidRDefault="00F507D9" w:rsidP="00F507D9">
      <w:pPr>
        <w:spacing w:after="120"/>
        <w:ind w:left="4680" w:right="972"/>
        <w:outlineLvl w:val="0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Agencja Rezerw Materiałowych</w:t>
      </w:r>
    </w:p>
    <w:p w:rsidR="00F507D9" w:rsidRPr="002C0E6E" w:rsidRDefault="00F507D9" w:rsidP="00F507D9">
      <w:pPr>
        <w:spacing w:after="120"/>
        <w:ind w:left="4680" w:right="972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ul. Grzybowska 45</w:t>
      </w:r>
    </w:p>
    <w:p w:rsidR="00F507D9" w:rsidRPr="002C0E6E" w:rsidRDefault="00F507D9" w:rsidP="00F507D9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00-844 Warszawa</w:t>
      </w:r>
    </w:p>
    <w:p w:rsidR="00F507D9" w:rsidRDefault="00F507D9" w:rsidP="00F507D9">
      <w:pPr>
        <w:spacing w:after="120"/>
        <w:jc w:val="center"/>
        <w:outlineLvl w:val="0"/>
        <w:rPr>
          <w:rFonts w:ascii="Arial" w:hAnsi="Arial" w:cs="Arial"/>
          <w:b/>
        </w:rPr>
      </w:pPr>
    </w:p>
    <w:p w:rsidR="00F507D9" w:rsidRPr="000802FF" w:rsidRDefault="00F507D9" w:rsidP="00F507D9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pacing w:val="40"/>
          <w:u w:val="single"/>
          <w:lang w:eastAsia="pl-PL"/>
        </w:rPr>
      </w:pPr>
      <w:r w:rsidRPr="000802FF">
        <w:rPr>
          <w:rFonts w:ascii="Arial" w:eastAsia="Times New Roman" w:hAnsi="Arial" w:cs="Arial"/>
          <w:b/>
          <w:spacing w:val="40"/>
          <w:u w:val="single"/>
          <w:lang w:eastAsia="pl-PL"/>
        </w:rPr>
        <w:t>FORMULARZ OFERTOWY</w:t>
      </w:r>
    </w:p>
    <w:p w:rsidR="00F507D9" w:rsidRPr="000802FF" w:rsidRDefault="00F507D9" w:rsidP="00F507D9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pacing w:val="40"/>
          <w:u w:val="single"/>
          <w:lang w:eastAsia="pl-PL"/>
        </w:rPr>
      </w:pPr>
    </w:p>
    <w:p w:rsidR="00F507D9" w:rsidRPr="000802FF" w:rsidRDefault="00F507D9" w:rsidP="00F507D9">
      <w:pPr>
        <w:widowControl w:val="0"/>
        <w:autoSpaceDE w:val="0"/>
        <w:autoSpaceDN w:val="0"/>
        <w:spacing w:before="120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 xml:space="preserve">Odpowiadając na ogłoszenie o przetargu nieograniczonym na </w:t>
      </w:r>
      <w:r>
        <w:rPr>
          <w:rFonts w:ascii="Arial" w:eastAsia="Times New Roman" w:hAnsi="Arial" w:cs="Arial"/>
          <w:b/>
          <w:lang w:eastAsia="pl-PL"/>
        </w:rPr>
        <w:t xml:space="preserve">dostawę sprzętu sieciowego </w:t>
      </w:r>
      <w:r w:rsidRPr="000802FF">
        <w:rPr>
          <w:rFonts w:ascii="Arial" w:eastAsia="Times New Roman" w:hAnsi="Arial" w:cs="Arial"/>
          <w:b/>
          <w:lang w:eastAsia="pl-PL"/>
        </w:rPr>
        <w:t>- znak sprawy: BPzp.261.</w:t>
      </w:r>
      <w:r>
        <w:rPr>
          <w:rFonts w:ascii="Arial" w:eastAsia="Times New Roman" w:hAnsi="Arial" w:cs="Arial"/>
          <w:b/>
          <w:lang w:eastAsia="pl-PL"/>
        </w:rPr>
        <w:t>62</w:t>
      </w:r>
      <w:r w:rsidRPr="000802FF">
        <w:rPr>
          <w:rFonts w:ascii="Arial" w:eastAsia="Times New Roman" w:hAnsi="Arial" w:cs="Arial"/>
          <w:b/>
          <w:lang w:eastAsia="pl-PL"/>
        </w:rPr>
        <w:t>.201</w:t>
      </w:r>
      <w:r>
        <w:rPr>
          <w:rFonts w:ascii="Arial" w:eastAsia="Times New Roman" w:hAnsi="Arial" w:cs="Arial"/>
          <w:b/>
          <w:lang w:eastAsia="pl-PL"/>
        </w:rPr>
        <w:t>9</w:t>
      </w:r>
      <w:r w:rsidRPr="000802FF">
        <w:rPr>
          <w:rFonts w:ascii="Arial" w:eastAsia="Times New Roman" w:hAnsi="Arial" w:cs="Arial"/>
          <w:b/>
          <w:lang w:eastAsia="pl-PL"/>
        </w:rPr>
        <w:t>:</w:t>
      </w:r>
      <w:bookmarkStart w:id="0" w:name="_GoBack"/>
      <w:bookmarkEnd w:id="0"/>
    </w:p>
    <w:p w:rsidR="00F507D9" w:rsidRPr="000802FF" w:rsidRDefault="00F507D9" w:rsidP="00F507D9">
      <w:pPr>
        <w:widowControl w:val="0"/>
        <w:autoSpaceDE w:val="0"/>
        <w:autoSpaceDN w:val="0"/>
        <w:jc w:val="both"/>
        <w:rPr>
          <w:rFonts w:ascii="Arial" w:eastAsia="Times New Roman" w:hAnsi="Arial" w:cs="Arial"/>
          <w:lang w:eastAsia="pl-PL"/>
        </w:rPr>
      </w:pP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>Oferujemy realizację zamówienia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90"/>
        <w:gridCol w:w="903"/>
        <w:gridCol w:w="1351"/>
        <w:gridCol w:w="1089"/>
        <w:gridCol w:w="1170"/>
        <w:gridCol w:w="1521"/>
      </w:tblGrid>
      <w:tr w:rsidR="00F507D9" w:rsidRPr="000802FF" w:rsidTr="00531E72">
        <w:trPr>
          <w:trHeight w:val="743"/>
          <w:jc w:val="center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Cena jedn. netto za j.m. [zł]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Wartość netto [zł]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Wartość brutto [zł]</w:t>
            </w:r>
          </w:p>
        </w:tc>
      </w:tr>
      <w:tr w:rsidR="00F507D9" w:rsidRPr="000802FF" w:rsidTr="00531E72">
        <w:trPr>
          <w:trHeight w:val="401"/>
          <w:jc w:val="center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5=3*4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7=5+5*6</w:t>
            </w:r>
          </w:p>
        </w:tc>
      </w:tr>
      <w:tr w:rsidR="00F507D9" w:rsidRPr="000802FF" w:rsidTr="00531E72">
        <w:trPr>
          <w:trHeight w:val="684"/>
          <w:jc w:val="center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Klatka Blade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F507D9" w:rsidRPr="000802FF" w:rsidTr="00531E72">
        <w:trPr>
          <w:trHeight w:val="684"/>
          <w:jc w:val="center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Default="00F507D9" w:rsidP="00531E7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Serwer typu Blade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9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D9" w:rsidRPr="000802FF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2FF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0802F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F507D9" w:rsidRPr="000802FF" w:rsidRDefault="00F507D9" w:rsidP="00F507D9">
      <w:pPr>
        <w:widowControl w:val="0"/>
        <w:autoSpaceDE w:val="0"/>
        <w:autoSpaceDN w:val="0"/>
        <w:spacing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F507D9" w:rsidRPr="000802FF" w:rsidRDefault="00F507D9" w:rsidP="00F507D9">
      <w:pPr>
        <w:widowControl w:val="0"/>
        <w:autoSpaceDE w:val="0"/>
        <w:autoSpaceDN w:val="0"/>
        <w:spacing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b/>
          <w:lang w:eastAsia="pl-PL"/>
        </w:rPr>
        <w:t>Łącznie wartość brutto</w:t>
      </w:r>
      <w:r w:rsidRPr="000802FF">
        <w:rPr>
          <w:rFonts w:ascii="Arial" w:eastAsia="Times New Roman" w:hAnsi="Arial" w:cs="Arial"/>
          <w:lang w:eastAsia="pl-PL"/>
        </w:rPr>
        <w:t xml:space="preserve"> </w:t>
      </w:r>
      <w:r w:rsidRPr="000802FF">
        <w:rPr>
          <w:rFonts w:ascii="Arial" w:eastAsia="Times New Roman" w:hAnsi="Arial" w:cs="Arial"/>
          <w:b/>
          <w:snapToGrid w:val="0"/>
          <w:lang w:eastAsia="pl-PL"/>
        </w:rPr>
        <w:t>…………..………………</w:t>
      </w:r>
      <w:r w:rsidRPr="000802FF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0802FF">
        <w:rPr>
          <w:rFonts w:ascii="Arial" w:eastAsia="Times New Roman" w:hAnsi="Arial" w:cs="Arial"/>
          <w:b/>
          <w:lang w:eastAsia="pl-PL"/>
        </w:rPr>
        <w:t xml:space="preserve"> złotych</w:t>
      </w:r>
    </w:p>
    <w:p w:rsidR="00F507D9" w:rsidRPr="000802FF" w:rsidRDefault="00F507D9" w:rsidP="00F507D9">
      <w:pPr>
        <w:widowControl w:val="0"/>
        <w:autoSpaceDE w:val="0"/>
        <w:autoSpaceDN w:val="0"/>
        <w:spacing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>(słownie brutto złotych: ………………………………………………….……………...…….…</w:t>
      </w:r>
      <w:r w:rsidRPr="000802FF">
        <w:rPr>
          <w:rFonts w:ascii="Arial" w:eastAsia="Times New Roman" w:hAnsi="Arial" w:cs="Arial"/>
          <w:vertAlign w:val="superscript"/>
          <w:lang w:eastAsia="pl-PL"/>
        </w:rPr>
        <w:t>1</w:t>
      </w:r>
      <w:r w:rsidRPr="000802FF">
        <w:rPr>
          <w:rFonts w:ascii="Arial" w:eastAsia="Times New Roman" w:hAnsi="Arial" w:cs="Arial"/>
          <w:lang w:eastAsia="pl-PL"/>
        </w:rPr>
        <w:t>)</w:t>
      </w:r>
    </w:p>
    <w:p w:rsidR="00F507D9" w:rsidRPr="000802FF" w:rsidRDefault="00F507D9" w:rsidP="00F507D9">
      <w:pPr>
        <w:numPr>
          <w:ilvl w:val="0"/>
          <w:numId w:val="1"/>
        </w:numPr>
        <w:tabs>
          <w:tab w:val="num" w:pos="426"/>
        </w:tabs>
        <w:spacing w:before="80"/>
        <w:ind w:left="426"/>
        <w:jc w:val="both"/>
        <w:rPr>
          <w:rFonts w:ascii="Arial" w:hAnsi="Arial" w:cs="Arial"/>
        </w:rPr>
      </w:pPr>
      <w:r w:rsidRPr="000802FF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>Klatkę Blade</w:t>
      </w:r>
      <w:r w:rsidRPr="000802FF">
        <w:rPr>
          <w:rFonts w:ascii="Arial" w:hAnsi="Arial" w:cs="Arial"/>
        </w:rPr>
        <w:t>:</w:t>
      </w:r>
    </w:p>
    <w:p w:rsidR="00F507D9" w:rsidRPr="000802FF" w:rsidRDefault="00F507D9" w:rsidP="00F507D9">
      <w:pPr>
        <w:tabs>
          <w:tab w:val="num" w:pos="426"/>
        </w:tabs>
        <w:spacing w:before="80"/>
        <w:ind w:left="426"/>
        <w:jc w:val="both"/>
        <w:rPr>
          <w:rFonts w:ascii="Arial" w:hAnsi="Arial" w:cs="Arial"/>
          <w:vertAlign w:val="superscript"/>
        </w:rPr>
      </w:pPr>
      <w:r w:rsidRPr="000802FF">
        <w:rPr>
          <w:rFonts w:ascii="Arial" w:hAnsi="Arial" w:cs="Arial"/>
        </w:rPr>
        <w:t>Producent: ………………………………..………</w:t>
      </w:r>
      <w:r w:rsidRPr="000802FF">
        <w:rPr>
          <w:rFonts w:ascii="Arial" w:hAnsi="Arial" w:cs="Arial"/>
          <w:vertAlign w:val="superscript"/>
        </w:rPr>
        <w:t>1</w:t>
      </w:r>
    </w:p>
    <w:p w:rsidR="00F507D9" w:rsidRDefault="00F507D9" w:rsidP="00F507D9">
      <w:pPr>
        <w:tabs>
          <w:tab w:val="num" w:pos="426"/>
        </w:tabs>
        <w:spacing w:before="80"/>
        <w:ind w:left="426"/>
        <w:jc w:val="both"/>
        <w:rPr>
          <w:rFonts w:ascii="Arial" w:hAnsi="Arial" w:cs="Arial"/>
          <w:vertAlign w:val="superscript"/>
        </w:rPr>
      </w:pPr>
      <w:r w:rsidRPr="000802FF">
        <w:rPr>
          <w:rFonts w:ascii="Arial" w:hAnsi="Arial" w:cs="Arial"/>
        </w:rPr>
        <w:t>Model/typ: ………………………………………...</w:t>
      </w:r>
      <w:r w:rsidRPr="000802FF">
        <w:rPr>
          <w:rFonts w:ascii="Arial" w:hAnsi="Arial" w:cs="Arial"/>
          <w:vertAlign w:val="superscript"/>
        </w:rPr>
        <w:t>1</w:t>
      </w:r>
    </w:p>
    <w:p w:rsidR="00F507D9" w:rsidRPr="000802FF" w:rsidRDefault="00F507D9" w:rsidP="00F507D9">
      <w:pPr>
        <w:tabs>
          <w:tab w:val="num" w:pos="426"/>
        </w:tabs>
        <w:spacing w:before="80"/>
        <w:ind w:left="426"/>
        <w:jc w:val="both"/>
        <w:rPr>
          <w:rFonts w:ascii="Arial" w:hAnsi="Arial" w:cs="Arial"/>
          <w:vertAlign w:val="superscript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75"/>
        <w:gridCol w:w="4446"/>
        <w:gridCol w:w="2092"/>
      </w:tblGrid>
      <w:tr w:rsidR="00F507D9" w:rsidRPr="000802FF" w:rsidTr="00531E72">
        <w:trPr>
          <w:trHeight w:val="788"/>
        </w:trPr>
        <w:tc>
          <w:tcPr>
            <w:tcW w:w="567" w:type="dxa"/>
            <w:vAlign w:val="center"/>
          </w:tcPr>
          <w:p w:rsidR="00F507D9" w:rsidRPr="00F9212C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75" w:type="dxa"/>
            <w:vAlign w:val="center"/>
          </w:tcPr>
          <w:p w:rsidR="00F507D9" w:rsidRPr="00F9212C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Element konfiguracji</w:t>
            </w:r>
          </w:p>
        </w:tc>
        <w:tc>
          <w:tcPr>
            <w:tcW w:w="4446" w:type="dxa"/>
            <w:vAlign w:val="center"/>
          </w:tcPr>
          <w:p w:rsidR="00F507D9" w:rsidRPr="00F921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Minimalne wymagania zamawiającego</w:t>
            </w:r>
          </w:p>
        </w:tc>
        <w:tc>
          <w:tcPr>
            <w:tcW w:w="2092" w:type="dxa"/>
            <w:vAlign w:val="center"/>
          </w:tcPr>
          <w:p w:rsidR="00F507D9" w:rsidRPr="00F9212C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Oferowane parametry</w:t>
            </w:r>
          </w:p>
        </w:tc>
      </w:tr>
      <w:tr w:rsidR="00F507D9" w:rsidRPr="000802FF" w:rsidTr="00531E72">
        <w:trPr>
          <w:trHeight w:val="862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ind w:right="-15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Typ infrastruktury</w:t>
            </w:r>
          </w:p>
        </w:tc>
        <w:tc>
          <w:tcPr>
            <w:tcW w:w="4446" w:type="dxa"/>
          </w:tcPr>
          <w:p w:rsidR="00F507D9" w:rsidRPr="00AE3599" w:rsidRDefault="00F507D9" w:rsidP="00531E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Przystosowana do montażu w szafie typu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19”, składająca się z jednej lub parzystej liczby obudów, umożliwiająca instalację minimum 8 serwerów kasetowych dwuprocesorowych z 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pełną obsadą pamięci,  bez konieczności rozbudowy o kolejne elementy sprzętowe. Infrastruktura zajmująca w szafie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więcej niż 10U. </w:t>
            </w:r>
          </w:p>
          <w:p w:rsidR="00F507D9" w:rsidRPr="00AE3599" w:rsidRDefault="00F507D9" w:rsidP="00531E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Infrastruktura obsługująca pasmo 40GbE oraz 16Gb FC.</w:t>
            </w:r>
          </w:p>
          <w:p w:rsidR="00F507D9" w:rsidRPr="0017302C" w:rsidRDefault="00F507D9" w:rsidP="00531E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</w:rPr>
              <w:t>Obudowa musi pozwalać na instalację lokalnych dysków hot-plug w technologiach SAS/SSD/NLSAS, z możliwością mieszanej konfiguracji tych technologii w obrębie obudowy, musi pozwalać na jednoczesną instalację i obsługę minimum 16 dysków hot-plug, w formacie 2,5”.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………….............…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40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Moduły komunikacyjne LAN/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FCoE</w:t>
            </w:r>
            <w:proofErr w:type="spellEnd"/>
          </w:p>
        </w:tc>
        <w:tc>
          <w:tcPr>
            <w:tcW w:w="4446" w:type="dxa"/>
          </w:tcPr>
          <w:p w:rsidR="00F507D9" w:rsidRPr="00AE3599" w:rsidRDefault="00F507D9" w:rsidP="00531E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Wyposażona w minimum dwa niezależne moduły komunikacyjne 40GbE. Urządzenia umożliwiające agregację połączeń LAN/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FCoE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Fibre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Channel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Ethernet) w infrastrukturze i umożliwiające wyprowadzenie sygnałów LAN i FC/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FCoE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ze wszystkich serwerów z zachowaniem redundancji połączeń. Awaria dowolnego z zainstalowanych modułów nie może powodować utraty komunikacji dla żadnego z serwerów z siecią LAN. Każdy moduł posiadający minimum 8 portów do serwerów (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downlink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) o sumarycznym pasmie min. 200Gb oraz min. 8 portów zewnętrznych (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uplink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) o sumarycznym pasmie 320Gb. Wszystkie porty w każdym module muszą być aktywne. Jeżeli pojedynczy moduł komunikacyjny nie spełnia wymagań na pasmo, to dopuszcza się zastosowanie większej liczby modułów spełniających wymagania na pasmo przy zachowaniu redundancji. W takim wypadku należy też dostarczyć odpowiednie karty w serwerach, aby doprowadzić sygnał do każdego z modułów. Aktywne wszystkie porty w każdym module.</w:t>
            </w:r>
          </w:p>
          <w:p w:rsidR="00F507D9" w:rsidRPr="00AE3599" w:rsidRDefault="00F507D9" w:rsidP="00531E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Wraz z modułami należy dostarczyć w sumie:</w:t>
            </w:r>
          </w:p>
          <w:p w:rsidR="00F507D9" w:rsidRPr="00AE3599" w:rsidRDefault="00F507D9" w:rsidP="00531E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 minimum 4 moduły Ethernet  SFP+ 10Gb SR i wszystkie wymagane komponenty do instalacji tych modułów</w:t>
            </w:r>
          </w:p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  2 kable miedziane DAC 40Gb QSFP+ min. 3m.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717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Moduły komunikacyjne SAN FC</w:t>
            </w:r>
          </w:p>
        </w:tc>
        <w:tc>
          <w:tcPr>
            <w:tcW w:w="4446" w:type="dxa"/>
          </w:tcPr>
          <w:p w:rsidR="00F507D9" w:rsidRPr="00AE3599" w:rsidRDefault="00F507D9" w:rsidP="00531E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Moduły zapewniające redundantne wyprowadzenie z każdego serwera zainstalowanego w obudowie pasma 2x16Gb FC (przy zastosowaniu dedykowanej dwuportowej karty FC). Awaria dowolnego z modułów SAN FC 16Gb nie może powodować utraty komunikacji serwera z siecią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SAN FC.</w:t>
            </w:r>
          </w:p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Każdy moduł SAN FC  wyposażony w min. 4 wkładki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SFP+ FC 16Gb SW.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84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Chłodzenie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Infrastruktura wyposażona w komplet redundantnych wentylatorów (typ hot plug, czyli możliwość wymiany podczas pracy urządzenia) zapewniających chłodzenie dla maksymalnej liczby serwerów i urządzeń I/O zainstalowanych w infrastrukturze. Wentylatory niezależne od zasilaczy, wymiana wentylatora (wentylatorów) nie może powodować konieczności wyjęcia zasilacza (zasilaczy).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696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446" w:type="dxa"/>
          </w:tcPr>
          <w:p w:rsidR="00F507D9" w:rsidRPr="00AE3599" w:rsidRDefault="00F507D9" w:rsidP="00531E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Infrastruktura wyposażona w komplet zasilaczy redundantnych typu Hot Plug. System zasilania musi pracować w trybie redundancji min. N+1, wymagane jest ciągłe dostarczenie mocy niezbędnej do zasilenia maksymalnej liczby serwerów i urządzeń 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/O zainstalowanych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softHyphen/>
              <w:t>obudowie.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Procesory serwerów powinny pracować z nominalną, maksymalną częstotliwością.</w:t>
            </w:r>
          </w:p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Infrastruktura przystosow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ana do zasilania jednofazowego.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844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Wewnętrzne moduły dyskowe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</w:rPr>
              <w:t>Możliwość zainstalowania w pojedynczej obudowie modułów dyskowych pozwalających na instalację min. 16 dysków SAS/SATA/SSD przydzielenie ich do serwerów zainstalowanych w pojedynczej obudowie przez połączenia SAS. Możliwość zainstalowania w pojedynczej obudowie mi</w:t>
            </w:r>
            <w:r>
              <w:rPr>
                <w:rFonts w:ascii="Arial" w:hAnsi="Arial" w:cs="Arial"/>
                <w:sz w:val="20"/>
                <w:szCs w:val="20"/>
              </w:rPr>
              <w:t>n. 2 takich modułów dyskowych.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97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</w:rPr>
              <w:t>Oferowana infrastruktura serwerowo-sieciowa musi być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fabrycznie nowa, wyprodukowana nie wcześniej niż 6 miesięcy przed datą dostarczenia do Zamawiającego i pochodzić z oficjalnego kanału dystrybucyjnego producenta na rynek europejski.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</w:tbl>
    <w:p w:rsidR="00F507D9" w:rsidRPr="000802FF" w:rsidRDefault="00F507D9" w:rsidP="00F507D9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</w:rPr>
      </w:pPr>
      <w:r w:rsidRPr="000802FF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>serwery typu Blade</w:t>
      </w:r>
      <w:r w:rsidRPr="000802FF">
        <w:rPr>
          <w:rFonts w:ascii="Arial" w:hAnsi="Arial" w:cs="Arial"/>
        </w:rPr>
        <w:t>:</w:t>
      </w:r>
    </w:p>
    <w:p w:rsidR="00F507D9" w:rsidRPr="000802FF" w:rsidRDefault="00F507D9" w:rsidP="00F507D9">
      <w:pPr>
        <w:tabs>
          <w:tab w:val="num" w:pos="426"/>
        </w:tabs>
        <w:spacing w:before="80"/>
        <w:ind w:left="426"/>
        <w:jc w:val="both"/>
        <w:rPr>
          <w:rFonts w:ascii="Arial" w:hAnsi="Arial" w:cs="Arial"/>
          <w:vertAlign w:val="superscript"/>
        </w:rPr>
      </w:pPr>
      <w:r w:rsidRPr="000802FF">
        <w:rPr>
          <w:rFonts w:ascii="Arial" w:hAnsi="Arial" w:cs="Arial"/>
        </w:rPr>
        <w:t>Producent: ………………………………..………</w:t>
      </w:r>
      <w:r w:rsidRPr="000802FF">
        <w:rPr>
          <w:rFonts w:ascii="Arial" w:hAnsi="Arial" w:cs="Arial"/>
          <w:vertAlign w:val="superscript"/>
        </w:rPr>
        <w:t>1</w:t>
      </w:r>
    </w:p>
    <w:p w:rsidR="00F507D9" w:rsidRDefault="00F507D9" w:rsidP="00F507D9">
      <w:pPr>
        <w:tabs>
          <w:tab w:val="num" w:pos="426"/>
        </w:tabs>
        <w:spacing w:before="80"/>
        <w:ind w:left="426"/>
        <w:jc w:val="both"/>
        <w:rPr>
          <w:rFonts w:ascii="Arial" w:hAnsi="Arial" w:cs="Arial"/>
          <w:vertAlign w:val="superscript"/>
        </w:rPr>
      </w:pPr>
      <w:r w:rsidRPr="000802FF">
        <w:rPr>
          <w:rFonts w:ascii="Arial" w:hAnsi="Arial" w:cs="Arial"/>
        </w:rPr>
        <w:t>Model/typ: ………………………………………...</w:t>
      </w:r>
      <w:r w:rsidRPr="000802FF">
        <w:rPr>
          <w:rFonts w:ascii="Arial" w:hAnsi="Arial" w:cs="Arial"/>
          <w:vertAlign w:val="superscript"/>
        </w:rPr>
        <w:t>1</w:t>
      </w:r>
    </w:p>
    <w:p w:rsidR="00F507D9" w:rsidRPr="000802FF" w:rsidRDefault="00F507D9" w:rsidP="00F507D9">
      <w:pPr>
        <w:tabs>
          <w:tab w:val="num" w:pos="426"/>
        </w:tabs>
        <w:spacing w:before="80"/>
        <w:ind w:left="426"/>
        <w:jc w:val="both"/>
        <w:rPr>
          <w:rFonts w:ascii="Arial" w:hAnsi="Arial" w:cs="Arial"/>
          <w:vertAlign w:val="superscript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75"/>
        <w:gridCol w:w="4446"/>
        <w:gridCol w:w="2092"/>
      </w:tblGrid>
      <w:tr w:rsidR="00F507D9" w:rsidRPr="000802FF" w:rsidTr="00531E72">
        <w:trPr>
          <w:trHeight w:val="788"/>
        </w:trPr>
        <w:tc>
          <w:tcPr>
            <w:tcW w:w="567" w:type="dxa"/>
            <w:vAlign w:val="center"/>
          </w:tcPr>
          <w:p w:rsidR="00F507D9" w:rsidRPr="00F9212C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75" w:type="dxa"/>
            <w:vAlign w:val="center"/>
          </w:tcPr>
          <w:p w:rsidR="00F507D9" w:rsidRPr="00F9212C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Element konfiguracji</w:t>
            </w:r>
          </w:p>
        </w:tc>
        <w:tc>
          <w:tcPr>
            <w:tcW w:w="4446" w:type="dxa"/>
            <w:vAlign w:val="center"/>
          </w:tcPr>
          <w:p w:rsidR="00F507D9" w:rsidRPr="00F921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Minimalne wymagania zamawiającego</w:t>
            </w:r>
          </w:p>
        </w:tc>
        <w:tc>
          <w:tcPr>
            <w:tcW w:w="2092" w:type="dxa"/>
            <w:vAlign w:val="center"/>
          </w:tcPr>
          <w:p w:rsidR="00F507D9" w:rsidRPr="00F9212C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12C">
              <w:rPr>
                <w:rFonts w:ascii="Arial" w:hAnsi="Arial" w:cs="Arial"/>
                <w:sz w:val="20"/>
                <w:szCs w:val="20"/>
              </w:rPr>
              <w:t>Oferowane parametry</w:t>
            </w:r>
          </w:p>
        </w:tc>
      </w:tr>
      <w:tr w:rsidR="00F507D9" w:rsidRPr="000802FF" w:rsidTr="00531E72">
        <w:trPr>
          <w:trHeight w:val="862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ind w:right="-15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Minimum 2 procesory, każdy minimum szesnastordzeniowy o taktowaniu minimum 2.1GHz, klasy x86-64bit, procesor musi osiągać wynik minimum 19473 punktów (w dniu wszczęcia postępowania), w teście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</w:rPr>
              <w:t xml:space="preserve"> CPU dostępnym na stronie www.cpubenchmark.net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W ofercie należy podać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liczbę punktów i 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kod procesora.</w:t>
            </w:r>
          </w:p>
        </w:tc>
        <w:tc>
          <w:tcPr>
            <w:tcW w:w="2092" w:type="dxa"/>
            <w:vAlign w:val="bottom"/>
          </w:tcPr>
          <w:p w:rsidR="00F507D9" w:rsidRPr="00FD447C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Liczba punktów i k</w:t>
            </w:r>
            <w:r w:rsidRPr="00FD44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od procesora </w:t>
            </w:r>
          </w:p>
          <w:p w:rsidR="00F507D9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507D9" w:rsidRPr="00FD447C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507D9" w:rsidRPr="00FD447C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507D9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44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  <w:p w:rsidR="00F507D9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507D9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507D9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………….............…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40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512GB LRDIMM DDR4 w modułach min. 32GB. Serwer posiadający minimum 24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sloty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pamięć. Po zainstalowaniu wymaganej pamięci RAM min.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6 slotów wolnych pozwalających na rozbudowę pamięci RAM.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717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Interfejsy sieciowe </w:t>
            </w:r>
          </w:p>
        </w:tc>
        <w:tc>
          <w:tcPr>
            <w:tcW w:w="4446" w:type="dxa"/>
          </w:tcPr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Minimum 2 Interfejsy sieciowe o przepustowości min. 20GbE każdy lub minimum 4 interfejsy o przepustowości 10GbE każdy, (CNA, wspierające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FCoE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funkcjonalność w standardzie) i interfejs FC/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FCoE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przepustowości min. 8Gb (posiadający własny adres WWN). Podział musi być niezależny od zainstalowanego na serwerze systemu operacyjnego/platformy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wirtualizacyjnej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Minimum 1 karta FC, min. 2 portowa, każdy port o przepustowości 16Gb FC.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84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Kontroler dyskowy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Sprzętowy kontroler dyskowy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RAID z 1GB pamięci cache zabezpieczonej przed utratą danych (technologia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flash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, podtrzymywanej bateryjnie).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696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Dyski twarde, nośniki danych</w:t>
            </w:r>
          </w:p>
        </w:tc>
        <w:tc>
          <w:tcPr>
            <w:tcW w:w="4446" w:type="dxa"/>
          </w:tcPr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Wnęki do zainstalowania minimum 2 dysków SAS/SATA typu hot-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swap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/hot-plug</w:t>
            </w:r>
          </w:p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Zainstalowane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dyski o pojemności minimum 1TB każdy SSD/SSD M.2 SATA typu Hot Plug, każdy z dysków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typu Mixed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parametr DWPD &gt;=3)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844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Sloty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PCI-E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Trzy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sloty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PCIe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3.0 o przepustowości złącza x16. Jeden slot wolny po zainstalowaniu wszystkich wymaganych kart sieciowych, kart FC, kontrolera RAID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624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5" w:type="dxa"/>
            <w:vAlign w:val="center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446" w:type="dxa"/>
          </w:tcPr>
          <w:p w:rsidR="00F507D9" w:rsidRPr="0017302C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x USB 3.0 lub 1x port na kartę SD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97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vAlign w:val="center"/>
          </w:tcPr>
          <w:p w:rsidR="00F507D9" w:rsidRPr="00AE3599" w:rsidRDefault="00F507D9" w:rsidP="00531E72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Wsparcie dla systemów operacyjnych i systemów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4446" w:type="dxa"/>
            <w:vAlign w:val="center"/>
          </w:tcPr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val="en-GB" w:eastAsia="pl-PL"/>
              </w:rPr>
              <w:t>Mic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>rosoft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Windows Server 2012 R2, 2016 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Red Hat Enterprise Linux (RHEL) 6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>i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7 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SUSE Linux Enterprise Server (SLES) 11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>i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12</w:t>
            </w:r>
          </w:p>
          <w:p w:rsidR="00F507D9" w:rsidRPr="00AE3599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VMware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6.5 i 6.7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97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5" w:type="dxa"/>
            <w:vAlign w:val="center"/>
          </w:tcPr>
          <w:p w:rsidR="00F507D9" w:rsidRPr="00AE3599" w:rsidRDefault="00F507D9" w:rsidP="00531E72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Zarządzanie serwerem</w:t>
            </w:r>
          </w:p>
        </w:tc>
        <w:tc>
          <w:tcPr>
            <w:tcW w:w="4446" w:type="dxa"/>
            <w:vAlign w:val="center"/>
          </w:tcPr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Serwer musi być wyposażony w kartę zdalnego zarządzania (konsoli) pozwalającej na: 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 włączenie, wyłączenie i restart serwera;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 podgląd logów sprzętowych serwera i karty;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przejęcie zdalnej pełnej konsoli tekstowej i graficznej serwera niezależnie od jego stanu (także podczas startu, restartu OS); 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zdalne podłączenie wirtualnych napędów CD/DVD/ISO i FDD; 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 integrację z Active Directory;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 powiadamianie o zdarzeniach za pomocą email;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wysyłanie zdarzeń do zdalnego serwera </w:t>
            </w:r>
            <w:proofErr w:type="spellStart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syslog</w:t>
            </w:r>
            <w:proofErr w:type="spellEnd"/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 Funkcjonalność  jednoczesnej  praca min. 5 użytkowników, współdzielenie jednej zdalnej konsoli graficznej przez użytkowników;</w:t>
            </w:r>
          </w:p>
          <w:p w:rsidR="00F507D9" w:rsidRPr="00AE3599" w:rsidRDefault="00F507D9" w:rsidP="00531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- zaawansowane zarządzanie poborem energii przez se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rwer – historia poboru energii;</w:t>
            </w:r>
          </w:p>
          <w:p w:rsidR="00F507D9" w:rsidRPr="00AE3599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Rozwiązanie sprzętowe, niezależne od systemów operacyjnyc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h, zintegrowane z płytą główną.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552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5" w:type="dxa"/>
            <w:vAlign w:val="center"/>
          </w:tcPr>
          <w:p w:rsidR="00F507D9" w:rsidRPr="00AE3599" w:rsidRDefault="00F507D9" w:rsidP="00531E72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446" w:type="dxa"/>
            <w:vAlign w:val="center"/>
          </w:tcPr>
          <w:p w:rsidR="00F507D9" w:rsidRPr="00AE3599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serwer musi być fabrycznie nowy, wyprodukowany nie wcześniej niż 6 miesięcy przed datą dostarczenia do Zamawiającego 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i pochodzić z oficjalnego kanału </w:t>
            </w: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dystrybucyjnego producenta na rynek europejski.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F507D9" w:rsidRPr="000802FF" w:rsidTr="00531E72">
        <w:trPr>
          <w:trHeight w:val="970"/>
        </w:trPr>
        <w:tc>
          <w:tcPr>
            <w:tcW w:w="567" w:type="dxa"/>
            <w:vAlign w:val="center"/>
          </w:tcPr>
          <w:p w:rsidR="00F507D9" w:rsidRPr="00F571B2" w:rsidRDefault="00F507D9" w:rsidP="0053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5" w:type="dxa"/>
            <w:vAlign w:val="center"/>
          </w:tcPr>
          <w:p w:rsidR="00F507D9" w:rsidRPr="00AE3599" w:rsidRDefault="00F507D9" w:rsidP="00531E72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>System wirtualizujący</w:t>
            </w:r>
          </w:p>
        </w:tc>
        <w:tc>
          <w:tcPr>
            <w:tcW w:w="4446" w:type="dxa"/>
            <w:vAlign w:val="center"/>
          </w:tcPr>
          <w:p w:rsidR="00F507D9" w:rsidRPr="00AE3599" w:rsidRDefault="00F507D9" w:rsidP="00531E72">
            <w:pPr>
              <w:rPr>
                <w:rFonts w:ascii="Arial" w:hAnsi="Arial" w:cs="Arial"/>
                <w:sz w:val="20"/>
                <w:szCs w:val="20"/>
              </w:rPr>
            </w:pPr>
            <w:r w:rsidRPr="00AE35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Wraz z serwerami i klatką zostanie dostarczony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vSphere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6 Remote Office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Branch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Office Standard (25 VM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pack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) w ilości 2 sztuki dla 50 VM wraz z 3 letnim wsparciem Basic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/Subscription for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vSphere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6 Remote Office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Branch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Office Standard (25 VM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pack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) for 3 </w:t>
            </w:r>
            <w:proofErr w:type="spellStart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years</w:t>
            </w:r>
            <w:proofErr w:type="spellEnd"/>
            <w:r w:rsidRPr="00AE35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ilości 2 szt.</w:t>
            </w:r>
          </w:p>
        </w:tc>
        <w:tc>
          <w:tcPr>
            <w:tcW w:w="2092" w:type="dxa"/>
            <w:vAlign w:val="bottom"/>
          </w:tcPr>
          <w:p w:rsidR="00F507D9" w:rsidRPr="000802FF" w:rsidRDefault="00F507D9" w:rsidP="00531E72">
            <w:pPr>
              <w:widowControl w:val="0"/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02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……………..........…</w:t>
            </w:r>
            <w:r w:rsidRPr="000802F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</w:tbl>
    <w:p w:rsidR="00F507D9" w:rsidRPr="000802FF" w:rsidRDefault="00F507D9" w:rsidP="00F507D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 w:rsidRPr="000802FF">
        <w:rPr>
          <w:rFonts w:ascii="Arial" w:hAnsi="Arial" w:cs="Arial"/>
          <w:b/>
          <w:bCs/>
        </w:rPr>
        <w:t>Parametry podane powyżej określają minimalne wymagania jakim powinien odpowiadać przedmiot zamówienia. Rubryki kolumny „</w:t>
      </w:r>
      <w:r>
        <w:rPr>
          <w:rFonts w:ascii="Arial" w:hAnsi="Arial" w:cs="Arial"/>
          <w:b/>
          <w:bCs/>
        </w:rPr>
        <w:t>Oferowane parametry</w:t>
      </w:r>
      <w:r w:rsidRPr="000802FF">
        <w:rPr>
          <w:rFonts w:ascii="Arial" w:hAnsi="Arial" w:cs="Arial"/>
          <w:b/>
          <w:bCs/>
        </w:rPr>
        <w:t xml:space="preserve">” należy uzupełnić wpisem TAK, SPEŁNIA lub poprzez podanie rzeczywistych parametrów urządzenia nie gorszych niż podane w kolumnie „Minimalne </w:t>
      </w:r>
      <w:r>
        <w:rPr>
          <w:rFonts w:ascii="Arial" w:hAnsi="Arial" w:cs="Arial"/>
          <w:b/>
          <w:bCs/>
        </w:rPr>
        <w:t>w</w:t>
      </w:r>
      <w:r w:rsidRPr="000802FF">
        <w:rPr>
          <w:rFonts w:ascii="Arial" w:hAnsi="Arial" w:cs="Arial"/>
          <w:b/>
          <w:bCs/>
        </w:rPr>
        <w:t xml:space="preserve">ymagania </w:t>
      </w:r>
      <w:r>
        <w:rPr>
          <w:rFonts w:ascii="Arial" w:hAnsi="Arial" w:cs="Arial"/>
          <w:b/>
          <w:bCs/>
        </w:rPr>
        <w:t>z</w:t>
      </w:r>
      <w:r w:rsidRPr="000802FF">
        <w:rPr>
          <w:rFonts w:ascii="Arial" w:hAnsi="Arial" w:cs="Arial"/>
          <w:b/>
          <w:bCs/>
        </w:rPr>
        <w:t>amawiającego”.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>Zobowiązujemy się dosta</w:t>
      </w:r>
      <w:r>
        <w:rPr>
          <w:rFonts w:ascii="Arial" w:eastAsia="Times New Roman" w:hAnsi="Arial" w:cs="Arial"/>
          <w:lang w:eastAsia="pl-PL"/>
        </w:rPr>
        <w:t>rczyć przedmiot zamówienia</w:t>
      </w:r>
      <w:r w:rsidRPr="000802FF">
        <w:rPr>
          <w:rFonts w:ascii="Arial" w:eastAsia="Times New Roman" w:hAnsi="Arial" w:cs="Arial"/>
          <w:lang w:eastAsia="pl-PL"/>
        </w:rPr>
        <w:t xml:space="preserve"> </w:t>
      </w:r>
      <w:r w:rsidRPr="000A3A1A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t>do dnia 29.11.2019 r.</w:t>
      </w:r>
    </w:p>
    <w:p w:rsidR="00F507D9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 xml:space="preserve">Oferujemy </w:t>
      </w:r>
      <w:r w:rsidRPr="000802FF">
        <w:rPr>
          <w:rFonts w:ascii="Arial" w:eastAsia="Times New Roman" w:hAnsi="Arial" w:cs="Arial"/>
          <w:b/>
          <w:lang w:eastAsia="pl-PL"/>
        </w:rPr>
        <w:t>…………</w:t>
      </w:r>
      <w:r w:rsidRPr="000802FF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0802FF">
        <w:rPr>
          <w:rFonts w:ascii="Arial" w:eastAsia="Times New Roman" w:hAnsi="Arial" w:cs="Arial"/>
          <w:b/>
          <w:lang w:eastAsia="pl-PL"/>
        </w:rPr>
        <w:t xml:space="preserve"> lat gwarancji</w:t>
      </w:r>
      <w:r w:rsidRPr="000802FF">
        <w:rPr>
          <w:rFonts w:ascii="Arial" w:eastAsia="Times New Roman" w:hAnsi="Arial" w:cs="Arial"/>
          <w:lang w:eastAsia="pl-PL"/>
        </w:rPr>
        <w:t xml:space="preserve"> (należy wstawić liczbę równą </w:t>
      </w:r>
      <w:r>
        <w:rPr>
          <w:rFonts w:ascii="Arial" w:eastAsia="Times New Roman" w:hAnsi="Arial" w:cs="Arial"/>
          <w:lang w:eastAsia="pl-PL"/>
        </w:rPr>
        <w:t>3, 4</w:t>
      </w:r>
      <w:r w:rsidRPr="000802FF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5</w:t>
      </w:r>
      <w:r w:rsidRPr="000802FF">
        <w:rPr>
          <w:rFonts w:ascii="Arial" w:eastAsia="Times New Roman" w:hAnsi="Arial" w:cs="Arial"/>
          <w:lang w:eastAsia="pl-PL"/>
        </w:rPr>
        <w:t xml:space="preserve"> albo większą, wstawienie liczby mniejszej niż </w:t>
      </w:r>
      <w:r>
        <w:rPr>
          <w:rFonts w:ascii="Arial" w:eastAsia="Times New Roman" w:hAnsi="Arial" w:cs="Arial"/>
          <w:lang w:eastAsia="pl-PL"/>
        </w:rPr>
        <w:t>3</w:t>
      </w:r>
      <w:r w:rsidRPr="000802FF">
        <w:rPr>
          <w:rFonts w:ascii="Arial" w:eastAsia="Times New Roman" w:hAnsi="Arial" w:cs="Arial"/>
          <w:lang w:eastAsia="pl-PL"/>
        </w:rPr>
        <w:t xml:space="preserve"> spowoduje odrzucenie oferty, za wstawienie liczby większej niż </w:t>
      </w:r>
      <w:r>
        <w:rPr>
          <w:rFonts w:ascii="Arial" w:eastAsia="Times New Roman" w:hAnsi="Arial" w:cs="Arial"/>
          <w:lang w:eastAsia="pl-PL"/>
        </w:rPr>
        <w:t>5</w:t>
      </w:r>
      <w:r w:rsidRPr="000802FF">
        <w:rPr>
          <w:rFonts w:ascii="Arial" w:eastAsia="Times New Roman" w:hAnsi="Arial" w:cs="Arial"/>
          <w:lang w:eastAsia="pl-PL"/>
        </w:rPr>
        <w:t xml:space="preserve"> zamawiający nie będzie przyznawał większej ilości punktów).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 xml:space="preserve">Oświadczamy, że w cenie oferty zostały uwzględnione wszystkie koszty związane </w:t>
      </w:r>
      <w:r>
        <w:rPr>
          <w:rFonts w:ascii="Arial" w:eastAsia="Times New Roman" w:hAnsi="Arial" w:cs="Arial"/>
          <w:lang w:eastAsia="pl-PL"/>
        </w:rPr>
        <w:br/>
      </w:r>
      <w:r w:rsidRPr="000802FF">
        <w:rPr>
          <w:rFonts w:ascii="Arial" w:eastAsia="Times New Roman" w:hAnsi="Arial" w:cs="Arial"/>
          <w:lang w:eastAsia="pl-PL"/>
        </w:rPr>
        <w:t>z wykonaniem przedmiotu zamówienia.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 xml:space="preserve">Oświadczamy, że akceptujemy bez zastrzeżeń Istotne Postanowienia Umowy przedstawione przez Zamawiającego jako załącznik nr </w:t>
      </w:r>
      <w:r>
        <w:rPr>
          <w:rFonts w:ascii="Arial" w:eastAsia="Times New Roman" w:hAnsi="Arial" w:cs="Arial"/>
          <w:lang w:eastAsia="pl-PL"/>
        </w:rPr>
        <w:t>6</w:t>
      </w:r>
      <w:r w:rsidRPr="000802FF">
        <w:rPr>
          <w:rFonts w:ascii="Arial" w:eastAsia="Times New Roman" w:hAnsi="Arial" w:cs="Arial"/>
          <w:lang w:eastAsia="pl-PL"/>
        </w:rPr>
        <w:t xml:space="preserve"> do SIWZ</w:t>
      </w:r>
      <w:r w:rsidRPr="000802FF">
        <w:rPr>
          <w:rFonts w:ascii="Arial" w:eastAsia="Times New Roman" w:hAnsi="Arial" w:cs="Arial"/>
          <w:i/>
          <w:lang w:eastAsia="pl-PL"/>
        </w:rPr>
        <w:t>.</w:t>
      </w:r>
      <w:r w:rsidRPr="000802FF">
        <w:rPr>
          <w:rFonts w:ascii="Arial" w:eastAsia="Times New Roman" w:hAnsi="Arial" w:cs="Arial"/>
          <w:lang w:eastAsia="pl-PL"/>
        </w:rPr>
        <w:t xml:space="preserve"> Zobowiązujemy się, </w:t>
      </w:r>
      <w:r w:rsidRPr="000802FF">
        <w:rPr>
          <w:rFonts w:ascii="Arial" w:eastAsia="Times New Roman" w:hAnsi="Arial" w:cs="Arial"/>
          <w:lang w:eastAsia="pl-PL"/>
        </w:rPr>
        <w:br/>
        <w:t>w przypadku wyboru naszej oferty, do zawarcia umowy na określonych w nich warunkach, w miejscu i terminie wyznaczonym przez Zamawiającego.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 xml:space="preserve">Oświadczamy, że jesteśmy związani niniejszą ofertą przez okres </w:t>
      </w:r>
      <w:r>
        <w:rPr>
          <w:rFonts w:ascii="Arial" w:eastAsia="Times New Roman" w:hAnsi="Arial" w:cs="Arial"/>
          <w:lang w:eastAsia="pl-PL"/>
        </w:rPr>
        <w:t>3</w:t>
      </w:r>
      <w:r w:rsidRPr="000802FF">
        <w:rPr>
          <w:rFonts w:ascii="Arial" w:eastAsia="Times New Roman" w:hAnsi="Arial" w:cs="Arial"/>
          <w:lang w:eastAsia="pl-PL"/>
        </w:rPr>
        <w:t>0 dni licząc od upływu terminu składania ofert.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247AD">
        <w:rPr>
          <w:rFonts w:ascii="Arial" w:hAnsi="Arial" w:cs="Arial"/>
        </w:rPr>
        <w:t xml:space="preserve">Oświadczamy, że Wykonawca </w:t>
      </w:r>
      <w:r w:rsidRPr="007247AD">
        <w:rPr>
          <w:rFonts w:ascii="Arial" w:hAnsi="Arial" w:cs="Arial"/>
          <w:b/>
          <w:bCs/>
        </w:rPr>
        <w:t>jest/nie jest</w:t>
      </w:r>
      <w:r w:rsidRPr="007247AD">
        <w:rPr>
          <w:rFonts w:ascii="Arial" w:hAnsi="Arial" w:cs="Arial"/>
          <w:b/>
          <w:bCs/>
          <w:vertAlign w:val="superscript"/>
        </w:rPr>
        <w:t>2</w:t>
      </w:r>
      <w:r w:rsidRPr="007247AD">
        <w:rPr>
          <w:rFonts w:ascii="Arial" w:hAnsi="Arial" w:cs="Arial"/>
          <w:b/>
          <w:bCs/>
        </w:rPr>
        <w:t xml:space="preserve"> małym lub średnim przedsiębiorcą</w:t>
      </w:r>
      <w:r w:rsidRPr="00724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247AD">
        <w:rPr>
          <w:rFonts w:ascii="Arial" w:hAnsi="Arial" w:cs="Arial"/>
        </w:rPr>
        <w:t>w rozumieniu ustawy z dnia 6 marca 2018 r. – Prawo przedsiębiorców (Dz. U. z 2018 r. poz. 646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7247AD">
        <w:rPr>
          <w:rFonts w:ascii="Arial" w:hAnsi="Arial" w:cs="Arial"/>
        </w:rPr>
        <w:t>).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>Wykonawcę reprezentuje:</w:t>
      </w:r>
    </w:p>
    <w:p w:rsidR="00F507D9" w:rsidRPr="000802FF" w:rsidRDefault="00F507D9" w:rsidP="00F507D9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  <w:r w:rsidRPr="000802FF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F507D9" w:rsidRPr="000802FF" w:rsidRDefault="00F507D9" w:rsidP="00F507D9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0802FF">
        <w:rPr>
          <w:rFonts w:ascii="Arial" w:eastAsia="Times New Roman" w:hAnsi="Arial" w:cs="Arial"/>
          <w:i/>
          <w:lang w:eastAsia="pl-PL"/>
        </w:rPr>
        <w:t>(imię, nazwisko, nr telefonu, adres e-mail)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 xml:space="preserve">Oświadczamy, że podwykonawcom </w:t>
      </w:r>
      <w:r w:rsidRPr="000802FF">
        <w:rPr>
          <w:rFonts w:ascii="Arial" w:eastAsia="Times New Roman" w:hAnsi="Arial" w:cs="Arial"/>
          <w:b/>
          <w:lang w:eastAsia="pl-PL"/>
        </w:rPr>
        <w:t>zamierzamy</w:t>
      </w:r>
      <w:r w:rsidRPr="000802FF">
        <w:rPr>
          <w:rFonts w:ascii="Arial" w:eastAsia="Times New Roman" w:hAnsi="Arial" w:cs="Arial"/>
          <w:lang w:eastAsia="pl-PL"/>
        </w:rPr>
        <w:t xml:space="preserve"> powierzyć wykonanie następujących części oferowanego przez nas przedmiotu zamówienia:</w:t>
      </w:r>
    </w:p>
    <w:p w:rsidR="00F507D9" w:rsidRPr="000802FF" w:rsidRDefault="00F507D9" w:rsidP="00F507D9">
      <w:pPr>
        <w:widowControl w:val="0"/>
        <w:tabs>
          <w:tab w:val="num" w:pos="426"/>
        </w:tabs>
        <w:suppressAutoHyphens/>
        <w:autoSpaceDN w:val="0"/>
        <w:ind w:left="426" w:hanging="426"/>
        <w:jc w:val="both"/>
        <w:rPr>
          <w:rFonts w:ascii="Arial" w:eastAsia="Lucida Sans Unicode" w:hAnsi="Arial" w:cs="Arial"/>
          <w:kern w:val="3"/>
          <w:lang w:eastAsia="zh-CN" w:bidi="hi-IN"/>
        </w:rPr>
      </w:pP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F507D9" w:rsidRPr="000802FF" w:rsidTr="00531E72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0802FF">
              <w:rPr>
                <w:rFonts w:ascii="Arial" w:eastAsia="Lucida Sans Unicode" w:hAnsi="Arial" w:cs="Arial"/>
                <w:bCs/>
                <w:kern w:val="3"/>
                <w:lang w:eastAsia="pl-PL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0802FF">
              <w:rPr>
                <w:rFonts w:ascii="Arial" w:eastAsia="Lucida Sans Unicode" w:hAnsi="Arial" w:cs="Arial"/>
                <w:bCs/>
                <w:kern w:val="3"/>
                <w:lang w:eastAsia="pl-PL"/>
              </w:rPr>
              <w:t>Zakres prac po</w:t>
            </w:r>
            <w:r w:rsidRPr="000802FF">
              <w:rPr>
                <w:rFonts w:ascii="Arial" w:eastAsia="Lucida Sans Unicode" w:hAnsi="Arial" w:cs="Arial"/>
                <w:bCs/>
                <w:kern w:val="3"/>
                <w:shd w:val="clear" w:color="auto" w:fill="FFFFFF"/>
                <w:lang w:eastAsia="pl-PL"/>
              </w:rPr>
              <w:t>wierz</w:t>
            </w:r>
            <w:r w:rsidRPr="000802FF">
              <w:rPr>
                <w:rFonts w:ascii="Arial" w:eastAsia="Lucida Sans Unicode" w:hAnsi="Arial" w:cs="Arial"/>
                <w:bCs/>
                <w:kern w:val="3"/>
                <w:lang w:eastAsia="pl-PL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0802FF">
              <w:rPr>
                <w:rFonts w:ascii="Arial" w:eastAsia="Lucida Sans Unicode" w:hAnsi="Arial" w:cs="Arial"/>
                <w:bCs/>
                <w:kern w:val="3"/>
                <w:lang w:eastAsia="pl-PL"/>
              </w:rPr>
              <w:t>Nazwa podwykonawcy:</w:t>
            </w:r>
          </w:p>
        </w:tc>
      </w:tr>
      <w:tr w:rsidR="00F507D9" w:rsidRPr="000802FF" w:rsidTr="00531E72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0802FF">
              <w:rPr>
                <w:rFonts w:ascii="Arial" w:eastAsia="Lucida Sans Unicode" w:hAnsi="Arial" w:cs="Arial"/>
                <w:bCs/>
                <w:kern w:val="3"/>
                <w:lang w:eastAsia="pl-PL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F507D9" w:rsidRPr="000802FF" w:rsidTr="00531E72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0802FF">
              <w:rPr>
                <w:rFonts w:ascii="Arial" w:eastAsia="Lucida Sans Unicode" w:hAnsi="Arial" w:cs="Arial"/>
                <w:bCs/>
                <w:kern w:val="3"/>
                <w:lang w:eastAsia="pl-PL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7D9" w:rsidRPr="000802FF" w:rsidRDefault="00F507D9" w:rsidP="00531E72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</w:tbl>
    <w:p w:rsidR="00F507D9" w:rsidRPr="000802FF" w:rsidRDefault="00F507D9" w:rsidP="00F507D9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</w:p>
    <w:p w:rsidR="00F507D9" w:rsidRPr="000802FF" w:rsidRDefault="00F507D9" w:rsidP="00F507D9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802FF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0802FF">
        <w:rPr>
          <w:rFonts w:ascii="Arial" w:hAnsi="Arial" w:cs="Arial"/>
          <w:i/>
          <w:sz w:val="20"/>
          <w:szCs w:val="20"/>
        </w:rPr>
        <w:t xml:space="preserve">Należy podać części zamówienia, których wykonanie zostanie powierzone podwykonawcom wraz z nazwami podwykonawców. Niewypełnienie tabeli jest równoznaczne z tym, </w:t>
      </w:r>
      <w:r w:rsidRPr="000802FF">
        <w:rPr>
          <w:rFonts w:ascii="Arial" w:hAnsi="Arial" w:cs="Arial"/>
          <w:i/>
          <w:sz w:val="20"/>
          <w:szCs w:val="20"/>
        </w:rPr>
        <w:br/>
        <w:t>iż wykonawca nie zamierza powierzyć wykonania części zamówienia podwykonawcom.</w:t>
      </w:r>
    </w:p>
    <w:p w:rsidR="00F507D9" w:rsidRPr="000802FF" w:rsidRDefault="00F507D9" w:rsidP="00F507D9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802FF">
        <w:rPr>
          <w:rFonts w:ascii="Arial" w:hAnsi="Arial" w:cs="Arial"/>
          <w:vertAlign w:val="superscript"/>
        </w:rPr>
        <w:t>3</w:t>
      </w:r>
    </w:p>
    <w:p w:rsidR="00F507D9" w:rsidRPr="000802FF" w:rsidRDefault="00F507D9" w:rsidP="00F507D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lastRenderedPageBreak/>
        <w:t>Do oferty zostały dołączone następujące dokumenty:</w:t>
      </w:r>
    </w:p>
    <w:p w:rsidR="00F507D9" w:rsidRPr="000802FF" w:rsidRDefault="00F507D9" w:rsidP="00F507D9">
      <w:pPr>
        <w:widowControl w:val="0"/>
        <w:autoSpaceDE w:val="0"/>
        <w:autoSpaceDN w:val="0"/>
        <w:rPr>
          <w:rFonts w:ascii="Arial" w:eastAsia="Times New Roman" w:hAnsi="Arial" w:cs="Arial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8430"/>
      </w:tblGrid>
      <w:tr w:rsidR="00F507D9" w:rsidRPr="000802FF" w:rsidTr="00531E72">
        <w:trPr>
          <w:trHeight w:val="484"/>
        </w:trPr>
        <w:tc>
          <w:tcPr>
            <w:tcW w:w="294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706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lang w:eastAsia="pl-PL"/>
              </w:rPr>
              <w:t>Nazwa dokumentu</w:t>
            </w:r>
          </w:p>
        </w:tc>
      </w:tr>
      <w:tr w:rsidR="00F507D9" w:rsidRPr="000802FF" w:rsidTr="00531E72">
        <w:trPr>
          <w:trHeight w:val="354"/>
        </w:trPr>
        <w:tc>
          <w:tcPr>
            <w:tcW w:w="294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ind w:right="-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706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kern w:val="32"/>
                <w:lang w:eastAsia="pl-PL"/>
              </w:rPr>
            </w:pPr>
          </w:p>
        </w:tc>
      </w:tr>
      <w:tr w:rsidR="00F507D9" w:rsidRPr="000802FF" w:rsidTr="00531E72">
        <w:trPr>
          <w:trHeight w:val="354"/>
        </w:trPr>
        <w:tc>
          <w:tcPr>
            <w:tcW w:w="294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ind w:right="-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706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07D9" w:rsidRPr="000802FF" w:rsidTr="00531E72">
        <w:trPr>
          <w:trHeight w:val="354"/>
        </w:trPr>
        <w:tc>
          <w:tcPr>
            <w:tcW w:w="294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ind w:right="-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2FF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706" w:type="pct"/>
            <w:vAlign w:val="center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507D9" w:rsidRPr="000802FF" w:rsidRDefault="00F507D9" w:rsidP="00F507D9">
      <w:pPr>
        <w:widowControl w:val="0"/>
        <w:autoSpaceDE w:val="0"/>
        <w:autoSpaceDN w:val="0"/>
        <w:rPr>
          <w:rFonts w:ascii="Arial" w:eastAsia="Times New Roman" w:hAnsi="Arial" w:cs="Arial"/>
          <w:lang w:eastAsia="pl-PL"/>
        </w:rPr>
      </w:pPr>
    </w:p>
    <w:p w:rsidR="00F507D9" w:rsidRPr="000802FF" w:rsidRDefault="00F507D9" w:rsidP="00F507D9">
      <w:pPr>
        <w:widowControl w:val="0"/>
        <w:autoSpaceDE w:val="0"/>
        <w:autoSpaceDN w:val="0"/>
        <w:outlineLvl w:val="0"/>
        <w:rPr>
          <w:rFonts w:ascii="Arial" w:eastAsia="Times New Roman" w:hAnsi="Arial" w:cs="Arial"/>
          <w:lang w:eastAsia="pl-PL"/>
        </w:rPr>
      </w:pPr>
      <w:r w:rsidRPr="000802FF">
        <w:rPr>
          <w:rFonts w:ascii="Arial" w:eastAsia="Times New Roman" w:hAnsi="Arial" w:cs="Arial"/>
          <w:lang w:eastAsia="pl-PL"/>
        </w:rPr>
        <w:t>Oferta wraz z wyżej wymienionymi dokumentami zawiera ........... ponumerowanych stron.</w:t>
      </w:r>
    </w:p>
    <w:p w:rsidR="00F507D9" w:rsidRPr="000802FF" w:rsidRDefault="00F507D9" w:rsidP="00F507D9">
      <w:pPr>
        <w:widowControl w:val="0"/>
        <w:autoSpaceDE w:val="0"/>
        <w:autoSpaceDN w:val="0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F507D9" w:rsidRPr="007247AD" w:rsidRDefault="00F507D9" w:rsidP="00F507D9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247AD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7247AD">
        <w:rPr>
          <w:rFonts w:ascii="Arial" w:hAnsi="Arial" w:cs="Arial"/>
          <w:i/>
          <w:sz w:val="18"/>
          <w:szCs w:val="18"/>
        </w:rPr>
        <w:t>wypełnia Wykonawca</w:t>
      </w:r>
    </w:p>
    <w:p w:rsidR="00F507D9" w:rsidRPr="007247AD" w:rsidRDefault="00F507D9" w:rsidP="00F507D9">
      <w:pPr>
        <w:widowControl w:val="0"/>
        <w:autoSpaceDE w:val="0"/>
        <w:autoSpaceDN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7247AD">
        <w:rPr>
          <w:rFonts w:ascii="Arial" w:hAnsi="Arial" w:cs="Arial"/>
          <w:sz w:val="18"/>
          <w:szCs w:val="18"/>
          <w:vertAlign w:val="superscript"/>
        </w:rPr>
        <w:t>2</w:t>
      </w:r>
      <w:r w:rsidRPr="007247AD">
        <w:rPr>
          <w:rFonts w:ascii="Arial" w:hAnsi="Arial" w:cs="Arial"/>
          <w:sz w:val="18"/>
          <w:szCs w:val="18"/>
        </w:rPr>
        <w:t xml:space="preserve"> </w:t>
      </w:r>
      <w:r w:rsidRPr="007247AD">
        <w:rPr>
          <w:rFonts w:ascii="Arial" w:hAnsi="Arial" w:cs="Arial"/>
          <w:i/>
          <w:iCs/>
          <w:sz w:val="18"/>
          <w:szCs w:val="18"/>
        </w:rPr>
        <w:t xml:space="preserve">niepotrzebne skreślić; mały przedsiębiorca – </w:t>
      </w:r>
      <w:hyperlink r:id="rId5" w:tooltip="Przedsiębiorca" w:history="1">
        <w:r w:rsidRPr="007247AD">
          <w:rPr>
            <w:rFonts w:ascii="Arial" w:hAnsi="Arial" w:cs="Arial"/>
            <w:i/>
            <w:iCs/>
            <w:sz w:val="18"/>
            <w:szCs w:val="18"/>
          </w:rPr>
          <w:t>przedsiębiorca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, który w co najmniej jednym roku z dwóch ostatnich </w:t>
      </w:r>
      <w:hyperlink r:id="rId6" w:tooltip="Rok obrotowy" w:history="1">
        <w:r w:rsidRPr="007247AD">
          <w:rPr>
            <w:rFonts w:ascii="Arial" w:hAnsi="Arial" w:cs="Arial"/>
            <w:i/>
            <w:iCs/>
            <w:sz w:val="18"/>
            <w:szCs w:val="18"/>
          </w:rPr>
          <w:t>lat obrotowych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zatrudniał średniorocznie mniej niż 50 pracowników oraz osiągnął roczny </w:t>
      </w:r>
      <w:hyperlink r:id="rId7" w:tooltip="Obrót" w:history="1">
        <w:r w:rsidRPr="007247AD">
          <w:rPr>
            <w:rFonts w:ascii="Arial" w:hAnsi="Arial" w:cs="Arial"/>
            <w:i/>
            <w:iCs/>
            <w:sz w:val="18"/>
            <w:szCs w:val="18"/>
          </w:rPr>
          <w:t>obrót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8" w:tooltip="Wartość netto" w:history="1">
        <w:r w:rsidRPr="007247AD">
          <w:rPr>
            <w:rFonts w:ascii="Arial" w:hAnsi="Arial" w:cs="Arial"/>
            <w:i/>
            <w:iCs/>
            <w:sz w:val="18"/>
            <w:szCs w:val="18"/>
          </w:rPr>
          <w:t>netto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ze sprzedaży </w:t>
      </w:r>
      <w:hyperlink r:id="rId9" w:tooltip="Towar" w:history="1">
        <w:r w:rsidRPr="007247AD">
          <w:rPr>
            <w:rFonts w:ascii="Arial" w:hAnsi="Arial" w:cs="Arial"/>
            <w:i/>
            <w:iCs/>
            <w:sz w:val="18"/>
            <w:szCs w:val="18"/>
          </w:rPr>
          <w:t>towarów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, </w:t>
      </w:r>
      <w:hyperlink r:id="rId10" w:tooltip="Produkt (marketing)" w:history="1">
        <w:r w:rsidRPr="007247AD">
          <w:rPr>
            <w:rFonts w:ascii="Arial" w:hAnsi="Arial" w:cs="Arial"/>
            <w:i/>
            <w:iCs/>
            <w:sz w:val="18"/>
            <w:szCs w:val="18"/>
          </w:rPr>
          <w:t>wyrobów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i </w:t>
      </w:r>
      <w:hyperlink r:id="rId11" w:tooltip="Usługa" w:history="1">
        <w:r w:rsidRPr="007247AD">
          <w:rPr>
            <w:rFonts w:ascii="Arial" w:hAnsi="Arial" w:cs="Arial"/>
            <w:i/>
            <w:iCs/>
            <w:sz w:val="18"/>
            <w:szCs w:val="18"/>
          </w:rPr>
          <w:t>usług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oraz operacji finansowych nieprzekraczający równowartości w złotych 10 milionów euro, lub sumy </w:t>
      </w:r>
      <w:hyperlink r:id="rId12" w:tooltip="Aktywa" w:history="1">
        <w:r w:rsidRPr="007247AD">
          <w:rPr>
            <w:rFonts w:ascii="Arial" w:hAnsi="Arial" w:cs="Arial"/>
            <w:i/>
            <w:iCs/>
            <w:sz w:val="18"/>
            <w:szCs w:val="18"/>
          </w:rPr>
          <w:t>aktywów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jego </w:t>
      </w:r>
      <w:hyperlink r:id="rId13" w:tooltip="Bilans (rachunkowość)" w:history="1">
        <w:r w:rsidRPr="007247AD">
          <w:rPr>
            <w:rFonts w:ascii="Arial" w:hAnsi="Arial" w:cs="Arial"/>
            <w:i/>
            <w:iCs/>
            <w:sz w:val="18"/>
            <w:szCs w:val="18"/>
          </w:rPr>
          <w:t>bilansu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sporządzonego na koniec jednego z tych lat nie przekroczyły równowartości w złotych 10 milionów euro; średni przedsiębiorca – </w:t>
      </w:r>
      <w:hyperlink r:id="rId14" w:tooltip="Przedsiębiorca" w:history="1">
        <w:r w:rsidRPr="007247AD">
          <w:rPr>
            <w:rFonts w:ascii="Arial" w:hAnsi="Arial" w:cs="Arial"/>
            <w:i/>
            <w:iCs/>
            <w:sz w:val="18"/>
            <w:szCs w:val="18"/>
          </w:rPr>
          <w:t>przedsiębiorca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, który w co najmniej jednym roku z dwóch ostatnich </w:t>
      </w:r>
      <w:hyperlink r:id="rId15" w:tooltip="Rok obrotowy" w:history="1">
        <w:r w:rsidRPr="007247AD">
          <w:rPr>
            <w:rFonts w:ascii="Arial" w:hAnsi="Arial" w:cs="Arial"/>
            <w:i/>
            <w:iCs/>
            <w:sz w:val="18"/>
            <w:szCs w:val="18"/>
          </w:rPr>
          <w:t>lat obrotowych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zatrudniał średniorocznie mniej niż 250 pracowników oraz osiągnął roczny </w:t>
      </w:r>
      <w:hyperlink r:id="rId16" w:tooltip="Obrót" w:history="1">
        <w:r w:rsidRPr="007247AD">
          <w:rPr>
            <w:rFonts w:ascii="Arial" w:hAnsi="Arial" w:cs="Arial"/>
            <w:i/>
            <w:iCs/>
            <w:sz w:val="18"/>
            <w:szCs w:val="18"/>
          </w:rPr>
          <w:t>obrót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7" w:tooltip="Wartość netto" w:history="1">
        <w:r w:rsidRPr="007247AD">
          <w:rPr>
            <w:rFonts w:ascii="Arial" w:hAnsi="Arial" w:cs="Arial"/>
            <w:i/>
            <w:iCs/>
            <w:sz w:val="18"/>
            <w:szCs w:val="18"/>
          </w:rPr>
          <w:t>netto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ze sprzedaży </w:t>
      </w:r>
      <w:hyperlink r:id="rId18" w:tooltip="Towar" w:history="1">
        <w:r w:rsidRPr="007247AD">
          <w:rPr>
            <w:rFonts w:ascii="Arial" w:hAnsi="Arial" w:cs="Arial"/>
            <w:i/>
            <w:iCs/>
            <w:sz w:val="18"/>
            <w:szCs w:val="18"/>
          </w:rPr>
          <w:t>towarów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, </w:t>
      </w:r>
      <w:hyperlink r:id="rId19" w:tooltip="Produkt (marketing)" w:history="1">
        <w:r w:rsidRPr="007247AD">
          <w:rPr>
            <w:rFonts w:ascii="Arial" w:hAnsi="Arial" w:cs="Arial"/>
            <w:i/>
            <w:iCs/>
            <w:sz w:val="18"/>
            <w:szCs w:val="18"/>
          </w:rPr>
          <w:t>wyrobów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i </w:t>
      </w:r>
      <w:hyperlink r:id="rId20" w:tooltip="Usługa" w:history="1">
        <w:r w:rsidRPr="007247AD">
          <w:rPr>
            <w:rFonts w:ascii="Arial" w:hAnsi="Arial" w:cs="Arial"/>
            <w:i/>
            <w:iCs/>
            <w:sz w:val="18"/>
            <w:szCs w:val="18"/>
          </w:rPr>
          <w:t>usług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oraz operacji finansowych nieprzekraczający równowartości w złotych 50 milionów euro, lub sumy </w:t>
      </w:r>
      <w:hyperlink r:id="rId21" w:tooltip="Aktywa" w:history="1">
        <w:r w:rsidRPr="007247AD">
          <w:rPr>
            <w:rFonts w:ascii="Arial" w:hAnsi="Arial" w:cs="Arial"/>
            <w:i/>
            <w:iCs/>
            <w:sz w:val="18"/>
            <w:szCs w:val="18"/>
          </w:rPr>
          <w:t>aktywów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jego </w:t>
      </w:r>
      <w:hyperlink r:id="rId22" w:tooltip="Bilans (rachunkowość)" w:history="1">
        <w:r w:rsidRPr="007247AD">
          <w:rPr>
            <w:rFonts w:ascii="Arial" w:hAnsi="Arial" w:cs="Arial"/>
            <w:i/>
            <w:iCs/>
            <w:sz w:val="18"/>
            <w:szCs w:val="18"/>
          </w:rPr>
          <w:t>bilansu</w:t>
        </w:r>
      </w:hyperlink>
      <w:r w:rsidRPr="007247AD">
        <w:rPr>
          <w:rFonts w:ascii="Arial" w:hAnsi="Arial" w:cs="Arial"/>
          <w:i/>
          <w:iCs/>
          <w:sz w:val="18"/>
          <w:szCs w:val="18"/>
        </w:rPr>
        <w:t xml:space="preserve"> sporządzonego na koniec jednego z tych lat nie przekroczyły równowartości w złotych 43 milionów euro.</w:t>
      </w:r>
    </w:p>
    <w:p w:rsidR="00F507D9" w:rsidRPr="000802FF" w:rsidRDefault="00F507D9" w:rsidP="00F507D9">
      <w:pPr>
        <w:widowControl w:val="0"/>
        <w:autoSpaceDE w:val="0"/>
        <w:autoSpaceDN w:val="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247AD">
        <w:rPr>
          <w:rFonts w:ascii="Arial" w:hAnsi="Arial" w:cs="Arial"/>
          <w:i/>
          <w:iCs/>
          <w:sz w:val="18"/>
          <w:szCs w:val="18"/>
          <w:vertAlign w:val="superscript"/>
        </w:rPr>
        <w:t xml:space="preserve">3 </w:t>
      </w:r>
      <w:r w:rsidRPr="007247AD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F507D9" w:rsidRDefault="00F507D9" w:rsidP="00F507D9">
      <w:pPr>
        <w:widowControl w:val="0"/>
        <w:autoSpaceDE w:val="0"/>
        <w:autoSpaceDN w:val="0"/>
        <w:rPr>
          <w:rFonts w:ascii="Arial" w:eastAsia="Times New Roman" w:hAnsi="Arial" w:cs="Arial"/>
          <w:lang w:eastAsia="pl-PL"/>
        </w:rPr>
      </w:pPr>
    </w:p>
    <w:p w:rsidR="00F507D9" w:rsidRPr="000802FF" w:rsidRDefault="00F507D9" w:rsidP="00F507D9">
      <w:pPr>
        <w:widowControl w:val="0"/>
        <w:autoSpaceDE w:val="0"/>
        <w:autoSpaceDN w:val="0"/>
        <w:rPr>
          <w:rFonts w:ascii="Arial" w:eastAsia="Times New Roman" w:hAnsi="Arial" w:cs="Arial"/>
          <w:lang w:eastAsia="pl-PL"/>
        </w:rPr>
      </w:pPr>
    </w:p>
    <w:p w:rsidR="00F507D9" w:rsidRPr="000802FF" w:rsidRDefault="00F507D9" w:rsidP="00F507D9">
      <w:pPr>
        <w:widowControl w:val="0"/>
        <w:autoSpaceDE w:val="0"/>
        <w:autoSpaceDN w:val="0"/>
        <w:rPr>
          <w:rFonts w:ascii="Arial" w:eastAsia="Times New Roman" w:hAnsi="Arial" w:cs="Arial"/>
          <w:lang w:eastAsia="pl-PL"/>
        </w:rPr>
      </w:pPr>
    </w:p>
    <w:p w:rsidR="00F507D9" w:rsidRPr="000802FF" w:rsidRDefault="00F507D9" w:rsidP="00F507D9">
      <w:pPr>
        <w:widowControl w:val="0"/>
        <w:autoSpaceDE w:val="0"/>
        <w:autoSpaceDN w:val="0"/>
        <w:jc w:val="both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F507D9" w:rsidRPr="000802FF" w:rsidTr="00531E72">
        <w:trPr>
          <w:trHeight w:val="175"/>
          <w:jc w:val="center"/>
        </w:trPr>
        <w:tc>
          <w:tcPr>
            <w:tcW w:w="4589" w:type="dxa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ind w:left="7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0802FF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………………………………………….</w:t>
            </w:r>
          </w:p>
          <w:p w:rsidR="00F507D9" w:rsidRPr="000802FF" w:rsidRDefault="00F507D9" w:rsidP="00531E72">
            <w:pPr>
              <w:widowControl w:val="0"/>
              <w:autoSpaceDE w:val="0"/>
              <w:autoSpaceDN w:val="0"/>
              <w:ind w:left="77"/>
              <w:jc w:val="center"/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lang w:eastAsia="pl-PL"/>
              </w:rPr>
            </w:pPr>
            <w:r w:rsidRPr="000802FF"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589" w:type="dxa"/>
          </w:tcPr>
          <w:p w:rsidR="00F507D9" w:rsidRPr="000802FF" w:rsidRDefault="00F507D9" w:rsidP="00531E72">
            <w:pPr>
              <w:widowControl w:val="0"/>
              <w:autoSpaceDE w:val="0"/>
              <w:autoSpaceDN w:val="0"/>
              <w:ind w:left="7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0802FF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……………….……………………………….</w:t>
            </w:r>
          </w:p>
          <w:p w:rsidR="00F507D9" w:rsidRPr="000802FF" w:rsidRDefault="00F507D9" w:rsidP="00531E72">
            <w:pPr>
              <w:widowControl w:val="0"/>
              <w:autoSpaceDE w:val="0"/>
              <w:autoSpaceDN w:val="0"/>
              <w:ind w:left="77"/>
              <w:jc w:val="center"/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lang w:eastAsia="pl-PL"/>
              </w:rPr>
            </w:pPr>
            <w:r w:rsidRPr="000802FF"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lang w:eastAsia="pl-PL"/>
              </w:rPr>
              <w:t>(podpis upoważnionego przedstawiciela Wykonawcy)</w:t>
            </w:r>
          </w:p>
        </w:tc>
      </w:tr>
    </w:tbl>
    <w:p w:rsidR="00F507D9" w:rsidRDefault="00F507D9" w:rsidP="00F507D9">
      <w:pPr>
        <w:jc w:val="both"/>
        <w:rPr>
          <w:rFonts w:ascii="Arial" w:hAnsi="Arial" w:cs="Arial"/>
          <w:i/>
          <w:sz w:val="16"/>
          <w:szCs w:val="16"/>
        </w:rPr>
      </w:pPr>
    </w:p>
    <w:p w:rsidR="00F507D9" w:rsidRDefault="00F507D9" w:rsidP="00F507D9">
      <w:pPr>
        <w:jc w:val="both"/>
        <w:rPr>
          <w:rFonts w:ascii="Arial" w:hAnsi="Arial" w:cs="Arial"/>
          <w:i/>
        </w:rPr>
      </w:pPr>
    </w:p>
    <w:p w:rsidR="00F507D9" w:rsidRDefault="00F507D9" w:rsidP="00F507D9">
      <w:pPr>
        <w:jc w:val="both"/>
        <w:rPr>
          <w:rFonts w:ascii="Arial" w:hAnsi="Arial" w:cs="Arial"/>
          <w:i/>
        </w:rPr>
      </w:pPr>
    </w:p>
    <w:p w:rsidR="005E2A24" w:rsidRDefault="005E2A24"/>
    <w:sectPr w:rsidR="005E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136C"/>
    <w:multiLevelType w:val="hybridMultilevel"/>
    <w:tmpl w:val="CF6E3ECA"/>
    <w:lvl w:ilvl="0" w:tplc="839C6EB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9"/>
    <w:rsid w:val="005E2A24"/>
    <w:rsid w:val="00F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40AA3-A14C-42F3-81FA-DA1E01B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7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arto%C5%9B%C4%87_netto" TargetMode="External"/><Relationship Id="rId13" Type="http://schemas.openxmlformats.org/officeDocument/2006/relationships/hyperlink" Target="https://pl.wikipedia.org/wiki/Bilans_(rachunkowo%C5%9B%C4%87)" TargetMode="External"/><Relationship Id="rId18" Type="http://schemas.openxmlformats.org/officeDocument/2006/relationships/hyperlink" Target="https://pl.wikipedia.org/wiki/Tow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Aktywa" TargetMode="External"/><Relationship Id="rId7" Type="http://schemas.openxmlformats.org/officeDocument/2006/relationships/hyperlink" Target="https://pl.wikipedia.org/wiki/Obr%C3%B3t" TargetMode="External"/><Relationship Id="rId12" Type="http://schemas.openxmlformats.org/officeDocument/2006/relationships/hyperlink" Target="https://pl.wikipedia.org/wiki/Aktywa" TargetMode="External"/><Relationship Id="rId17" Type="http://schemas.openxmlformats.org/officeDocument/2006/relationships/hyperlink" Target="https://pl.wikipedia.org/wiki/Warto%C5%9B%C4%87_net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Obr%C3%B3t" TargetMode="External"/><Relationship Id="rId20" Type="http://schemas.openxmlformats.org/officeDocument/2006/relationships/hyperlink" Target="https://pl.wikipedia.org/wiki/Us%C5%82u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ok_obrotowy" TargetMode="External"/><Relationship Id="rId11" Type="http://schemas.openxmlformats.org/officeDocument/2006/relationships/hyperlink" Target="https://pl.wikipedia.org/wiki/Us%C5%82ug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.wikipedia.org/wiki/Przedsi%C4%99biorca" TargetMode="External"/><Relationship Id="rId15" Type="http://schemas.openxmlformats.org/officeDocument/2006/relationships/hyperlink" Target="https://pl.wikipedia.org/wiki/Rok_obrotow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Produkt_(marketing)" TargetMode="External"/><Relationship Id="rId19" Type="http://schemas.openxmlformats.org/officeDocument/2006/relationships/hyperlink" Target="https://pl.wikipedia.org/wiki/Produkt_(marketi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owar" TargetMode="External"/><Relationship Id="rId14" Type="http://schemas.openxmlformats.org/officeDocument/2006/relationships/hyperlink" Target="https://pl.wikipedia.org/wiki/Przedsi%C4%99biorca" TargetMode="External"/><Relationship Id="rId22" Type="http://schemas.openxmlformats.org/officeDocument/2006/relationships/hyperlink" Target="https://pl.wikipedia.org/wiki/Bilans_(rachunkowo%C5%9B%C4%87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11487</Characters>
  <Application>Microsoft Office Word</Application>
  <DocSecurity>0</DocSecurity>
  <Lines>95</Lines>
  <Paragraphs>26</Paragraphs>
  <ScaleCrop>false</ScaleCrop>
  <Company>HP Inc.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Maciej</dc:creator>
  <cp:keywords/>
  <dc:description/>
  <cp:lastModifiedBy>Jankowski Maciej</cp:lastModifiedBy>
  <cp:revision>1</cp:revision>
  <dcterms:created xsi:type="dcterms:W3CDTF">2019-09-12T07:03:00Z</dcterms:created>
  <dcterms:modified xsi:type="dcterms:W3CDTF">2019-09-12T07:03:00Z</dcterms:modified>
</cp:coreProperties>
</file>