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59DC94A0" w:rsidR="00953BA6" w:rsidRDefault="007E6108" w:rsidP="00B20BCC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 w:rsidR="00322365">
        <w:rPr>
          <w:sz w:val="22"/>
          <w:szCs w:val="22"/>
        </w:rPr>
        <w:t xml:space="preserve">arszawa, </w:t>
      </w:r>
      <w:r w:rsidR="004A786C">
        <w:rPr>
          <w:sz w:val="22"/>
          <w:szCs w:val="22"/>
        </w:rPr>
        <w:t>25</w:t>
      </w:r>
      <w:bookmarkStart w:id="0" w:name="_GoBack"/>
      <w:bookmarkEnd w:id="0"/>
      <w:r>
        <w:rPr>
          <w:sz w:val="22"/>
          <w:szCs w:val="22"/>
        </w:rPr>
        <w:t>.08.2020 r.</w:t>
      </w:r>
    </w:p>
    <w:p w14:paraId="2474DB28" w14:textId="1BE66753" w:rsidR="00B20BCC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0195706A" w14:textId="2CAB4541" w:rsidR="00F24788" w:rsidRPr="002E7735" w:rsidRDefault="00F24788" w:rsidP="00F24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BPzp.261.54</w:t>
      </w:r>
      <w:r w:rsidRPr="002E7735">
        <w:rPr>
          <w:rFonts w:cs="Arial"/>
          <w:sz w:val="22"/>
          <w:szCs w:val="22"/>
        </w:rPr>
        <w:t>.2020</w:t>
      </w:r>
    </w:p>
    <w:p w14:paraId="5D0634D3" w14:textId="77777777" w:rsidR="00F24788" w:rsidRPr="002E7735" w:rsidRDefault="00F24788" w:rsidP="00F24788">
      <w:pPr>
        <w:rPr>
          <w:rFonts w:cs="Arial"/>
          <w:sz w:val="22"/>
          <w:szCs w:val="22"/>
        </w:rPr>
      </w:pPr>
    </w:p>
    <w:p w14:paraId="7F73DE3B" w14:textId="77777777" w:rsidR="00F24788" w:rsidRDefault="00F24788" w:rsidP="00F24788">
      <w:pPr>
        <w:rPr>
          <w:rFonts w:cs="Arial"/>
          <w:sz w:val="22"/>
          <w:szCs w:val="22"/>
        </w:rPr>
      </w:pPr>
    </w:p>
    <w:p w14:paraId="1B21874E" w14:textId="77777777" w:rsidR="00F24788" w:rsidRDefault="00F24788" w:rsidP="00F24788">
      <w:pPr>
        <w:rPr>
          <w:rFonts w:cs="Arial"/>
          <w:sz w:val="22"/>
          <w:szCs w:val="22"/>
        </w:rPr>
      </w:pPr>
    </w:p>
    <w:p w14:paraId="7ED78E11" w14:textId="77777777" w:rsidR="00C20070" w:rsidRPr="002E7735" w:rsidRDefault="00C20070" w:rsidP="00F24788">
      <w:pPr>
        <w:rPr>
          <w:rFonts w:cs="Arial"/>
          <w:sz w:val="22"/>
          <w:szCs w:val="22"/>
        </w:rPr>
      </w:pPr>
    </w:p>
    <w:p w14:paraId="70507733" w14:textId="77777777" w:rsidR="00F24788" w:rsidRPr="00EB19D0" w:rsidRDefault="00F24788" w:rsidP="00F24788">
      <w:pPr>
        <w:spacing w:after="120"/>
        <w:jc w:val="both"/>
        <w:rPr>
          <w:rFonts w:cs="Arial"/>
          <w:i/>
          <w:sz w:val="22"/>
          <w:szCs w:val="22"/>
          <w:u w:val="single"/>
        </w:rPr>
      </w:pPr>
      <w:r w:rsidRPr="00EB19D0">
        <w:rPr>
          <w:rFonts w:cs="Arial"/>
          <w:i/>
          <w:sz w:val="22"/>
          <w:szCs w:val="22"/>
          <w:u w:val="single"/>
        </w:rPr>
        <w:t xml:space="preserve">Dotyczy: postępowania o udzielenie zamówienia publicznego na dostawę, wdrożenie i uruchomienie systemu do zarządzania stacjami roboczymi wraz </w:t>
      </w:r>
      <w:r w:rsidRPr="00EB19D0">
        <w:rPr>
          <w:rFonts w:cs="Arial"/>
          <w:i/>
          <w:sz w:val="22"/>
          <w:szCs w:val="22"/>
          <w:u w:val="single"/>
        </w:rPr>
        <w:br/>
        <w:t>z modułem Mobile Device Management – znak sprawy: BPzp.261.54.2020</w:t>
      </w:r>
    </w:p>
    <w:p w14:paraId="59F9E4C0" w14:textId="77777777" w:rsidR="00F24788" w:rsidRDefault="00F24788" w:rsidP="00F24788">
      <w:pPr>
        <w:spacing w:before="120"/>
        <w:jc w:val="both"/>
        <w:rPr>
          <w:rFonts w:cs="Arial"/>
          <w:sz w:val="22"/>
          <w:szCs w:val="22"/>
        </w:rPr>
      </w:pPr>
    </w:p>
    <w:p w14:paraId="66FC79BF" w14:textId="77777777" w:rsidR="00C20070" w:rsidRPr="002E7735" w:rsidRDefault="00C20070" w:rsidP="00F24788">
      <w:pPr>
        <w:spacing w:before="120"/>
        <w:jc w:val="both"/>
        <w:rPr>
          <w:rFonts w:cs="Arial"/>
          <w:sz w:val="22"/>
          <w:szCs w:val="22"/>
        </w:rPr>
      </w:pPr>
    </w:p>
    <w:p w14:paraId="62C97217" w14:textId="018B754A" w:rsidR="00F24788" w:rsidRPr="00976D77" w:rsidRDefault="00F24788" w:rsidP="00C20070">
      <w:pPr>
        <w:spacing w:before="120"/>
        <w:ind w:firstLine="425"/>
        <w:jc w:val="both"/>
        <w:rPr>
          <w:rFonts w:eastAsia="Times New Roman" w:cs="Arial"/>
          <w:sz w:val="22"/>
          <w:szCs w:val="22"/>
          <w:lang w:eastAsia="pl-PL"/>
        </w:rPr>
      </w:pPr>
      <w:r w:rsidRPr="00976D77">
        <w:rPr>
          <w:rFonts w:eastAsia="Calibri" w:cs="Arial"/>
          <w:sz w:val="22"/>
          <w:szCs w:val="22"/>
          <w:lang w:eastAsia="pl-PL"/>
        </w:rPr>
        <w:t>Działając na podstawie art. 38 ust. 2</w:t>
      </w:r>
      <w:r w:rsidR="004F334E">
        <w:rPr>
          <w:rFonts w:eastAsia="Calibri" w:cs="Arial"/>
          <w:sz w:val="22"/>
          <w:szCs w:val="22"/>
          <w:lang w:eastAsia="pl-PL"/>
        </w:rPr>
        <w:t xml:space="preserve"> i 4</w:t>
      </w:r>
      <w:r w:rsidRPr="00976D77">
        <w:rPr>
          <w:rFonts w:eastAsia="Calibri" w:cs="Arial"/>
          <w:sz w:val="22"/>
          <w:szCs w:val="22"/>
          <w:lang w:eastAsia="pl-PL"/>
        </w:rPr>
        <w:t xml:space="preserve"> ustawy z dnia 29 stycznia 2004 </w:t>
      </w:r>
      <w:r w:rsidRPr="002E7735">
        <w:rPr>
          <w:rFonts w:eastAsia="Calibri" w:cs="Arial"/>
          <w:sz w:val="22"/>
          <w:szCs w:val="22"/>
          <w:lang w:eastAsia="pl-PL"/>
        </w:rPr>
        <w:t xml:space="preserve">r. </w:t>
      </w:r>
      <w:r w:rsidRPr="00976D77">
        <w:rPr>
          <w:rFonts w:eastAsia="Calibri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eastAsia="Calibri" w:cs="Arial"/>
          <w:sz w:val="22"/>
          <w:szCs w:val="22"/>
          <w:lang w:eastAsia="pl-PL"/>
        </w:rPr>
        <w:t>, z późn. zm.</w:t>
      </w:r>
      <w:r w:rsidRPr="00976D77">
        <w:rPr>
          <w:rFonts w:eastAsia="Calibri" w:cs="Arial"/>
          <w:sz w:val="22"/>
          <w:szCs w:val="22"/>
          <w:lang w:eastAsia="pl-PL"/>
        </w:rPr>
        <w:t>), Zamawiający przekazuje wyjaśnienia treści SIWZ.</w:t>
      </w:r>
    </w:p>
    <w:p w14:paraId="2CBDBF16" w14:textId="77777777" w:rsidR="00AC3E9B" w:rsidRPr="00957267" w:rsidRDefault="00AC3E9B" w:rsidP="00AC3E9B">
      <w:pPr>
        <w:spacing w:after="120"/>
        <w:jc w:val="both"/>
        <w:rPr>
          <w:b/>
          <w:sz w:val="22"/>
          <w:szCs w:val="22"/>
        </w:rPr>
      </w:pPr>
      <w:r w:rsidRPr="00957267">
        <w:rPr>
          <w:b/>
          <w:sz w:val="22"/>
          <w:szCs w:val="22"/>
        </w:rPr>
        <w:t>Pytanie 1.:</w:t>
      </w:r>
    </w:p>
    <w:p w14:paraId="06587ECB" w14:textId="77777777" w:rsidR="00AC3E9B" w:rsidRPr="00957267" w:rsidRDefault="00AC3E9B" w:rsidP="00AC3E9B">
      <w:pPr>
        <w:spacing w:after="120"/>
        <w:jc w:val="both"/>
        <w:rPr>
          <w:rFonts w:cs="Calibri"/>
          <w:i/>
          <w:sz w:val="22"/>
          <w:szCs w:val="22"/>
        </w:rPr>
      </w:pPr>
      <w:r w:rsidRPr="00957267">
        <w:rPr>
          <w:i/>
          <w:sz w:val="22"/>
          <w:szCs w:val="22"/>
        </w:rPr>
        <w:t>W SOPZ w pkt 7.2 Zamawiający wymaga wsparcia dla macOS w wersjach 10.6, 10.7, 10.8, 10.9, 10.10, 10.11, 10.12, 10.13.</w:t>
      </w:r>
    </w:p>
    <w:p w14:paraId="0C04F662" w14:textId="77777777" w:rsidR="00AC3E9B" w:rsidRPr="00957267" w:rsidRDefault="00AC3E9B" w:rsidP="00AC3E9B">
      <w:pPr>
        <w:spacing w:after="120"/>
        <w:jc w:val="both"/>
        <w:rPr>
          <w:i/>
          <w:sz w:val="22"/>
          <w:szCs w:val="22"/>
        </w:rPr>
      </w:pPr>
      <w:r w:rsidRPr="00957267">
        <w:rPr>
          <w:i/>
          <w:sz w:val="22"/>
          <w:szCs w:val="22"/>
        </w:rPr>
        <w:t>Z racji tego</w:t>
      </w:r>
      <w:r>
        <w:rPr>
          <w:i/>
          <w:sz w:val="22"/>
          <w:szCs w:val="22"/>
        </w:rPr>
        <w:t>,</w:t>
      </w:r>
      <w:r w:rsidRPr="00957267">
        <w:rPr>
          <w:i/>
          <w:sz w:val="22"/>
          <w:szCs w:val="22"/>
        </w:rPr>
        <w:t xml:space="preserve"> że część tych systemów jest już bardzo rzadko spotykana </w:t>
      </w:r>
      <w:r w:rsidRPr="00957267">
        <w:rPr>
          <w:i/>
          <w:sz w:val="22"/>
          <w:szCs w:val="22"/>
        </w:rPr>
        <w:br/>
        <w:t>w środowiskach korporacyjnych producenci oprogramowania MD wycofali dla części z nich wsparcie.</w:t>
      </w:r>
    </w:p>
    <w:p w14:paraId="356CCFC4" w14:textId="77777777" w:rsidR="00AC3E9B" w:rsidRPr="00957267" w:rsidRDefault="00AC3E9B" w:rsidP="00AC3E9B">
      <w:pPr>
        <w:spacing w:after="120"/>
        <w:jc w:val="both"/>
        <w:rPr>
          <w:i/>
          <w:sz w:val="22"/>
          <w:szCs w:val="22"/>
        </w:rPr>
      </w:pPr>
      <w:r w:rsidRPr="00957267">
        <w:rPr>
          <w:i/>
          <w:sz w:val="22"/>
          <w:szCs w:val="22"/>
        </w:rPr>
        <w:t>Czy wobec tego zamawiający zgodzi się aby oferowany system oferował wsparcie dla następujących wersji macOS 10.9,10.10,10.11,10.12,10.13, 10.14,10.15</w:t>
      </w:r>
      <w:r>
        <w:rPr>
          <w:i/>
          <w:sz w:val="22"/>
          <w:szCs w:val="22"/>
        </w:rPr>
        <w:t>?</w:t>
      </w:r>
    </w:p>
    <w:p w14:paraId="2A6B5497" w14:textId="77777777" w:rsidR="00AC3E9B" w:rsidRPr="00957267" w:rsidRDefault="00AC3E9B" w:rsidP="00AC3E9B">
      <w:pPr>
        <w:spacing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>Odpowiedź na pytanie 1:</w:t>
      </w:r>
    </w:p>
    <w:p w14:paraId="7298FC25" w14:textId="77777777" w:rsidR="00AC3E9B" w:rsidRPr="00957267" w:rsidRDefault="00AC3E9B" w:rsidP="00AC3E9B">
      <w:pPr>
        <w:spacing w:after="120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Zamawiający wyraża zgodę, na takie rozwiązanie jednocześnie zmieniając zapisy SOPZ w punkcie 7.2 na zapis: „</w:t>
      </w:r>
      <w:r>
        <w:rPr>
          <w:sz w:val="22"/>
          <w:szCs w:val="22"/>
        </w:rPr>
        <w:t>m</w:t>
      </w:r>
      <w:r w:rsidRPr="00957267">
        <w:rPr>
          <w:sz w:val="22"/>
          <w:szCs w:val="22"/>
        </w:rPr>
        <w:t xml:space="preserve">acOS w wersjach: </w:t>
      </w:r>
      <w:r w:rsidRPr="00957267">
        <w:rPr>
          <w:iCs/>
          <w:sz w:val="22"/>
          <w:szCs w:val="22"/>
        </w:rPr>
        <w:t>10.9,10.10,10.11,10.12,10.13, 10.14,10.15</w:t>
      </w:r>
      <w:r w:rsidRPr="00957267">
        <w:rPr>
          <w:sz w:val="22"/>
          <w:szCs w:val="22"/>
        </w:rPr>
        <w:t>.”</w:t>
      </w:r>
    </w:p>
    <w:p w14:paraId="720E08BB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Pytanie 2.</w:t>
      </w:r>
    </w:p>
    <w:p w14:paraId="1F71E05A" w14:textId="77777777" w:rsidR="00AC3E9B" w:rsidRPr="00957267" w:rsidRDefault="00AC3E9B" w:rsidP="00AC3E9B">
      <w:pPr>
        <w:spacing w:after="120"/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W pkt. 13 SOPZ zamawiający używa pojęcia serwerów sond czy można to zinterpretować jako serwery dystrybucyjne w tym kontekście?</w:t>
      </w:r>
    </w:p>
    <w:p w14:paraId="6EB89E41" w14:textId="77777777" w:rsidR="00AC3E9B" w:rsidRPr="00957267" w:rsidRDefault="00AC3E9B" w:rsidP="00AC3E9B">
      <w:pPr>
        <w:spacing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>Odpowiedź na pytanie 2:</w:t>
      </w:r>
    </w:p>
    <w:p w14:paraId="3B9C2158" w14:textId="77777777" w:rsidR="00AC3E9B" w:rsidRPr="00957267" w:rsidRDefault="00AC3E9B" w:rsidP="00AC3E9B">
      <w:pPr>
        <w:spacing w:after="120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Tak</w:t>
      </w:r>
      <w:r>
        <w:rPr>
          <w:sz w:val="22"/>
          <w:szCs w:val="22"/>
        </w:rPr>
        <w:t xml:space="preserve"> można.</w:t>
      </w:r>
      <w:r w:rsidRPr="00957267">
        <w:rPr>
          <w:sz w:val="22"/>
          <w:szCs w:val="22"/>
        </w:rPr>
        <w:t xml:space="preserve"> Zamawiający zmienia zapis SOPZ w punkcie 13 na: „Architektura systemu musi umożliwiać zarządzanie stacjami roboczymi w sieci LAN, WAN bezpośrednio z poziomu serwera centralnego jak i za pośrednictwem serwerów sond (serwery dystrybucyjne).”</w:t>
      </w:r>
    </w:p>
    <w:p w14:paraId="6FB7FF03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Pytanie 3:</w:t>
      </w:r>
      <w:r w:rsidRPr="00957267">
        <w:rPr>
          <w:sz w:val="22"/>
          <w:szCs w:val="22"/>
        </w:rPr>
        <w:t xml:space="preserve"> </w:t>
      </w:r>
    </w:p>
    <w:p w14:paraId="00BF1253" w14:textId="77777777" w:rsidR="00AC3E9B" w:rsidRPr="00957267" w:rsidRDefault="00AC3E9B" w:rsidP="00AC3E9B">
      <w:pPr>
        <w:spacing w:after="120"/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lastRenderedPageBreak/>
        <w:t>W pkt. 28.2 SOPZ zamawiający używa pojęcia „Narażone poprawki” czy dobrze rozumiemy</w:t>
      </w:r>
      <w:r>
        <w:rPr>
          <w:i/>
          <w:iCs/>
          <w:sz w:val="22"/>
          <w:szCs w:val="22"/>
        </w:rPr>
        <w:t>,</w:t>
      </w:r>
      <w:r w:rsidRPr="00957267">
        <w:rPr>
          <w:i/>
          <w:iCs/>
          <w:sz w:val="22"/>
          <w:szCs w:val="22"/>
        </w:rPr>
        <w:t xml:space="preserve"> że chodzi tu o poprawki których brakuje na zarządzanych stacjach</w:t>
      </w:r>
      <w:r>
        <w:rPr>
          <w:i/>
          <w:iCs/>
          <w:sz w:val="22"/>
          <w:szCs w:val="22"/>
        </w:rPr>
        <w:t>?</w:t>
      </w:r>
    </w:p>
    <w:p w14:paraId="3D2EB3EC" w14:textId="77777777" w:rsidR="00AC3E9B" w:rsidRPr="00957267" w:rsidRDefault="00AC3E9B" w:rsidP="00AC3E9B">
      <w:pPr>
        <w:spacing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 xml:space="preserve">Odpowiedź na pytanie 3: </w:t>
      </w:r>
    </w:p>
    <w:p w14:paraId="43B9404C" w14:textId="77777777" w:rsidR="00AC3E9B" w:rsidRPr="00957267" w:rsidRDefault="00AC3E9B" w:rsidP="00AC3E9B">
      <w:pPr>
        <w:jc w:val="both"/>
        <w:rPr>
          <w:sz w:val="22"/>
          <w:szCs w:val="22"/>
        </w:rPr>
      </w:pPr>
      <w:r w:rsidRPr="00957267">
        <w:rPr>
          <w:sz w:val="22"/>
          <w:szCs w:val="22"/>
        </w:rPr>
        <w:t>Zamawiający potwierdza, że chodzi o brakujące poprawki. Jednocześnie zmienia zapisy SOPZ w pkt 28.2 na</w:t>
      </w:r>
      <w:r>
        <w:rPr>
          <w:sz w:val="22"/>
          <w:szCs w:val="22"/>
        </w:rPr>
        <w:t>: „</w:t>
      </w:r>
      <w:r w:rsidRPr="00957267">
        <w:rPr>
          <w:sz w:val="22"/>
          <w:szCs w:val="22"/>
        </w:rPr>
        <w:t>Raporty dotyczące poprawek</w:t>
      </w:r>
    </w:p>
    <w:p w14:paraId="34E48791" w14:textId="77777777" w:rsidR="00AC3E9B" w:rsidRPr="00957267" w:rsidRDefault="00AC3E9B" w:rsidP="00AC3E9B">
      <w:pPr>
        <w:numPr>
          <w:ilvl w:val="3"/>
          <w:numId w:val="4"/>
        </w:numPr>
        <w:ind w:left="284" w:hanging="284"/>
        <w:jc w:val="both"/>
        <w:rPr>
          <w:sz w:val="22"/>
          <w:szCs w:val="22"/>
          <w:lang w:val="en-US"/>
        </w:rPr>
      </w:pPr>
      <w:r w:rsidRPr="00957267">
        <w:rPr>
          <w:sz w:val="22"/>
          <w:szCs w:val="22"/>
          <w:lang w:val="en-US"/>
        </w:rPr>
        <w:t>Narażone systemy</w:t>
      </w:r>
    </w:p>
    <w:p w14:paraId="3E3184FE" w14:textId="77777777" w:rsidR="00AC3E9B" w:rsidRPr="00957267" w:rsidRDefault="00AC3E9B" w:rsidP="00AC3E9B">
      <w:pPr>
        <w:numPr>
          <w:ilvl w:val="3"/>
          <w:numId w:val="4"/>
        </w:numPr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957267">
        <w:rPr>
          <w:sz w:val="22"/>
          <w:szCs w:val="22"/>
          <w:lang w:val="en-US"/>
        </w:rPr>
        <w:t>rakujące poprawki</w:t>
      </w:r>
    </w:p>
    <w:p w14:paraId="0CC7CA69" w14:textId="77777777" w:rsidR="00AC3E9B" w:rsidRPr="00957267" w:rsidRDefault="00AC3E9B" w:rsidP="00AC3E9B">
      <w:pPr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957267">
        <w:rPr>
          <w:sz w:val="22"/>
          <w:szCs w:val="22"/>
        </w:rPr>
        <w:t xml:space="preserve">Obsługiwane poprawki </w:t>
      </w:r>
    </w:p>
    <w:p w14:paraId="67ACD238" w14:textId="77777777" w:rsidR="00AC3E9B" w:rsidRPr="00957267" w:rsidRDefault="00AC3E9B" w:rsidP="00AC3E9B">
      <w:pPr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Brakujące poprawki czekające na zatwierdzenie</w:t>
      </w:r>
    </w:p>
    <w:p w14:paraId="6C099166" w14:textId="77777777" w:rsidR="00AC3E9B" w:rsidRPr="00957267" w:rsidRDefault="00AC3E9B" w:rsidP="00AC3E9B">
      <w:pPr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Systemy wymagające ponownego uruchomienia</w:t>
      </w:r>
      <w:r>
        <w:rPr>
          <w:sz w:val="22"/>
          <w:szCs w:val="22"/>
        </w:rPr>
        <w:t>”</w:t>
      </w:r>
    </w:p>
    <w:p w14:paraId="461BD4D7" w14:textId="77777777" w:rsidR="00AC3E9B" w:rsidRPr="00957267" w:rsidRDefault="00AC3E9B" w:rsidP="00AC3E9B">
      <w:pPr>
        <w:spacing w:before="120"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>Pytanie 4:</w:t>
      </w:r>
    </w:p>
    <w:p w14:paraId="34C10D67" w14:textId="77777777" w:rsidR="00AC3E9B" w:rsidRPr="00957267" w:rsidRDefault="00AC3E9B" w:rsidP="00AC3E9B">
      <w:pPr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W pkt. 28.2 SOPZ zamawiający wymaga,` aby system umożliwiał zarządzanie flotą urządzeń mobilnych z systemami operacyjnymi „Android 2.2 i wyższe, iOS 4</w:t>
      </w:r>
      <w:r w:rsidRPr="00957267">
        <w:rPr>
          <w:i/>
          <w:iCs/>
          <w:sz w:val="22"/>
          <w:szCs w:val="22"/>
        </w:rPr>
        <w:br/>
        <w:t xml:space="preserve"> i wyższe, Windows Phone 8 i wyższe.” Z racji tego, iż systemy te są już bez wsparcia ich producentów czy zamawiający zgodzi się na zaoferowanie systemu wspierającego następujące systemy operacyjne na urządzeniach mobilnych:</w:t>
      </w:r>
    </w:p>
    <w:p w14:paraId="6D2C0554" w14:textId="77777777" w:rsidR="00AC3E9B" w:rsidRPr="00957267" w:rsidRDefault="00AC3E9B" w:rsidP="00AC3E9B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Android: Android 4.0 i wyższe</w:t>
      </w:r>
    </w:p>
    <w:p w14:paraId="4CD54A58" w14:textId="77777777" w:rsidR="00AC3E9B" w:rsidRPr="00957267" w:rsidRDefault="00AC3E9B" w:rsidP="00AC3E9B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 xml:space="preserve">iOS (iPhone, iPad i iPod): iOS 4.0 </w:t>
      </w:r>
      <w:r>
        <w:rPr>
          <w:i/>
          <w:iCs/>
          <w:sz w:val="22"/>
          <w:szCs w:val="22"/>
        </w:rPr>
        <w:t>i</w:t>
      </w:r>
      <w:r w:rsidRPr="00957267">
        <w:rPr>
          <w:i/>
          <w:iCs/>
          <w:sz w:val="22"/>
          <w:szCs w:val="22"/>
        </w:rPr>
        <w:t xml:space="preserve"> wyższe</w:t>
      </w:r>
    </w:p>
    <w:p w14:paraId="2D92024A" w14:textId="77777777" w:rsidR="00AC3E9B" w:rsidRPr="00957267" w:rsidRDefault="00AC3E9B" w:rsidP="00AC3E9B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 xml:space="preserve">Windows Smartphones: Windows Phone 8.1 </w:t>
      </w:r>
      <w:r>
        <w:rPr>
          <w:i/>
          <w:iCs/>
          <w:sz w:val="22"/>
          <w:szCs w:val="22"/>
        </w:rPr>
        <w:t>i</w:t>
      </w:r>
      <w:r w:rsidRPr="00957267">
        <w:rPr>
          <w:i/>
          <w:iCs/>
          <w:sz w:val="22"/>
          <w:szCs w:val="22"/>
        </w:rPr>
        <w:t xml:space="preserve"> wyższe</w:t>
      </w:r>
      <w:r>
        <w:rPr>
          <w:i/>
          <w:iCs/>
          <w:sz w:val="22"/>
          <w:szCs w:val="22"/>
        </w:rPr>
        <w:t>?</w:t>
      </w:r>
    </w:p>
    <w:p w14:paraId="556E8F13" w14:textId="77777777" w:rsidR="00AC3E9B" w:rsidRPr="00957267" w:rsidRDefault="00AC3E9B" w:rsidP="00AC3E9B">
      <w:pPr>
        <w:spacing w:before="120"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 xml:space="preserve">Odpowiedź na pytanie 4: </w:t>
      </w:r>
    </w:p>
    <w:p w14:paraId="0D739C9B" w14:textId="77777777" w:rsidR="00AC3E9B" w:rsidRPr="00957267" w:rsidRDefault="00AC3E9B" w:rsidP="00AC3E9B">
      <w:pPr>
        <w:spacing w:after="120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Zamawiający zgadza się na zaoferowanie systemu wspierającego. Jednocześnie zmienia zapisy zawarte w SOPZ w pkt 35 na</w:t>
      </w:r>
      <w:r>
        <w:rPr>
          <w:sz w:val="22"/>
          <w:szCs w:val="22"/>
        </w:rPr>
        <w:t>: „</w:t>
      </w:r>
      <w:r w:rsidRPr="00957267">
        <w:rPr>
          <w:sz w:val="22"/>
          <w:szCs w:val="22"/>
        </w:rPr>
        <w:t>System musi umożliwiać rozszerzenia funkcjonalności o moduł zarządzania flotą urządzeń mobilnych typu smartfony i tablety z zainstalowanymi systemami operacyjnymi: Android 4.</w:t>
      </w:r>
      <w:r>
        <w:rPr>
          <w:sz w:val="22"/>
          <w:szCs w:val="22"/>
        </w:rPr>
        <w:t>0</w:t>
      </w:r>
      <w:r w:rsidRPr="00957267">
        <w:rPr>
          <w:sz w:val="22"/>
          <w:szCs w:val="22"/>
        </w:rPr>
        <w:t xml:space="preserve"> i wyższe, IOS (iPhone, iPad i iPod): iOS 4.0 </w:t>
      </w:r>
      <w:r>
        <w:rPr>
          <w:sz w:val="22"/>
          <w:szCs w:val="22"/>
        </w:rPr>
        <w:t>i</w:t>
      </w:r>
      <w:r w:rsidRPr="00957267">
        <w:rPr>
          <w:sz w:val="22"/>
          <w:szCs w:val="22"/>
        </w:rPr>
        <w:t xml:space="preserve"> wyższe, Windows Smartphones: Windows Phone 8.1 </w:t>
      </w:r>
      <w:r>
        <w:rPr>
          <w:sz w:val="22"/>
          <w:szCs w:val="22"/>
        </w:rPr>
        <w:t>i</w:t>
      </w:r>
      <w:r w:rsidRPr="00957267">
        <w:rPr>
          <w:sz w:val="22"/>
          <w:szCs w:val="22"/>
        </w:rPr>
        <w:t xml:space="preserve"> wyższe.”</w:t>
      </w:r>
    </w:p>
    <w:p w14:paraId="274B8B7A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Pytanie 5:</w:t>
      </w:r>
      <w:r w:rsidRPr="00957267">
        <w:rPr>
          <w:sz w:val="22"/>
          <w:szCs w:val="22"/>
        </w:rPr>
        <w:t xml:space="preserve"> </w:t>
      </w:r>
    </w:p>
    <w:p w14:paraId="18327E65" w14:textId="77777777" w:rsidR="00AC3E9B" w:rsidRPr="00957267" w:rsidRDefault="00AC3E9B" w:rsidP="00AC3E9B">
      <w:pPr>
        <w:spacing w:after="120"/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W pkt. 35.5.3 SOPZ zamawiający wymaga funkcjonalności „Pełne czyszczenie: Usunięcie wszystkich danych z telefonu w celu wycieku danych po kradzieży” czy dobrze rozumiemy, że brakuje tu słowa „uniknięcia” przed „wycieku”</w:t>
      </w:r>
      <w:r>
        <w:rPr>
          <w:i/>
          <w:iCs/>
          <w:sz w:val="22"/>
          <w:szCs w:val="22"/>
        </w:rPr>
        <w:t>?</w:t>
      </w:r>
    </w:p>
    <w:p w14:paraId="6427AF92" w14:textId="77777777" w:rsidR="00AC3E9B" w:rsidRPr="00957267" w:rsidRDefault="00AC3E9B" w:rsidP="00AC3E9B">
      <w:pPr>
        <w:spacing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 xml:space="preserve">Odpowiedź na pytanie 5: </w:t>
      </w:r>
    </w:p>
    <w:p w14:paraId="61876DCC" w14:textId="77777777" w:rsidR="00AC3E9B" w:rsidRPr="00957267" w:rsidRDefault="00AC3E9B" w:rsidP="00AC3E9B">
      <w:pPr>
        <w:spacing w:after="120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Błąd wynika z omyłki pisarskiej i chodzi o uniknięcie wycieku danych po kradzieży. Zamawiający zmienia zapisy zawarte w SOPZ w pkt 35.5.3 na „Pełne czyszczenie: Usunięcie wszystkich danych z telefonu w celu uniknięcia wycieku danych po kradzieży.”</w:t>
      </w:r>
    </w:p>
    <w:p w14:paraId="238C0B52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Pytanie 6.</w:t>
      </w:r>
    </w:p>
    <w:p w14:paraId="4E9B04F5" w14:textId="77777777" w:rsidR="00AC3E9B" w:rsidRPr="00957267" w:rsidRDefault="00AC3E9B" w:rsidP="00AC3E9B">
      <w:pPr>
        <w:spacing w:after="120"/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W pkt. 35.6.8 SOPZ zamawiający wymaga, aby reset urządzenia był możliwy nawet po wygaśnięciu poświadczeń AD, czy zamawiający uzna za spełnieni tego wymagania, gdy do tego resetu w opisanej sytuacji będzie wymagane podanie hasła administratora na urządzeniu końcowym</w:t>
      </w:r>
      <w:r>
        <w:rPr>
          <w:i/>
          <w:iCs/>
          <w:sz w:val="22"/>
          <w:szCs w:val="22"/>
        </w:rPr>
        <w:t>?</w:t>
      </w:r>
    </w:p>
    <w:p w14:paraId="2C19FF60" w14:textId="77777777" w:rsidR="00AC3E9B" w:rsidRPr="00957267" w:rsidRDefault="00AC3E9B" w:rsidP="00AC3E9B">
      <w:pPr>
        <w:spacing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lastRenderedPageBreak/>
        <w:t>Odpowiedź na pytanie 6:</w:t>
      </w:r>
    </w:p>
    <w:p w14:paraId="7C66CD94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sz w:val="22"/>
          <w:szCs w:val="22"/>
        </w:rPr>
        <w:t>Zamawiający uzna takie rozwiązanie.</w:t>
      </w:r>
    </w:p>
    <w:p w14:paraId="0EE9A074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Pytanie 7:</w:t>
      </w:r>
      <w:r w:rsidRPr="00957267">
        <w:rPr>
          <w:sz w:val="22"/>
          <w:szCs w:val="22"/>
        </w:rPr>
        <w:t xml:space="preserve"> </w:t>
      </w:r>
    </w:p>
    <w:p w14:paraId="7CA7C11A" w14:textId="6C1F1FD5" w:rsidR="00AC3E9B" w:rsidRPr="00EA396E" w:rsidRDefault="00AC3E9B" w:rsidP="00EA396E">
      <w:pPr>
        <w:spacing w:after="120"/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W pkt. 35.6.37 SOPZ zamawiający wymaga „obsługę Windows 10 Admin Subsrollment” Czy zamawiający miał na myśli „obsługę Windows 10 Automate Enrollment (Windows Autopilot)</w:t>
      </w:r>
      <w:r>
        <w:rPr>
          <w:i/>
          <w:iCs/>
          <w:sz w:val="22"/>
          <w:szCs w:val="22"/>
        </w:rPr>
        <w:t>?</w:t>
      </w:r>
    </w:p>
    <w:p w14:paraId="4AA7FCCE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Odpowiedź na pytanie 7:</w:t>
      </w:r>
    </w:p>
    <w:p w14:paraId="299A3624" w14:textId="77777777" w:rsidR="00AC3E9B" w:rsidRPr="00957267" w:rsidRDefault="00AC3E9B" w:rsidP="00AC3E9B">
      <w:pPr>
        <w:spacing w:after="120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Tak, Zamawiający miał na myśli obsługę Windows 10 Automate Enrollment (Windows Autopilot)</w:t>
      </w:r>
      <w:r>
        <w:rPr>
          <w:sz w:val="22"/>
          <w:szCs w:val="22"/>
        </w:rPr>
        <w:t>,</w:t>
      </w:r>
      <w:r w:rsidRPr="00957267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957267">
        <w:rPr>
          <w:sz w:val="22"/>
          <w:szCs w:val="22"/>
        </w:rPr>
        <w:t xml:space="preserve">mienia </w:t>
      </w:r>
      <w:r>
        <w:rPr>
          <w:sz w:val="22"/>
          <w:szCs w:val="22"/>
        </w:rPr>
        <w:t>zapisy</w:t>
      </w:r>
      <w:r w:rsidRPr="00957267">
        <w:rPr>
          <w:sz w:val="22"/>
          <w:szCs w:val="22"/>
        </w:rPr>
        <w:t xml:space="preserve"> pkt 35.6.37 </w:t>
      </w:r>
      <w:r>
        <w:rPr>
          <w:sz w:val="22"/>
          <w:szCs w:val="22"/>
        </w:rPr>
        <w:t xml:space="preserve">SOPZ </w:t>
      </w:r>
      <w:r w:rsidRPr="00957267">
        <w:rPr>
          <w:sz w:val="22"/>
          <w:szCs w:val="22"/>
        </w:rPr>
        <w:t>na „Moduł musi pozwalać na obsługę Windows 10 Automate Enrollment (Windows Autopilot</w:t>
      </w:r>
      <w:r>
        <w:rPr>
          <w:sz w:val="22"/>
          <w:szCs w:val="22"/>
        </w:rPr>
        <w:t>)</w:t>
      </w:r>
      <w:r w:rsidRPr="00957267">
        <w:rPr>
          <w:sz w:val="22"/>
          <w:szCs w:val="22"/>
        </w:rPr>
        <w:t xml:space="preserve"> tak, aby bezproblemowo zarejestrować wiele laptopów, komputerów stacjonarnych z Windows 10 bez interwencji użytkownika.”</w:t>
      </w:r>
    </w:p>
    <w:p w14:paraId="1C1BCB9C" w14:textId="77777777" w:rsidR="00AC3E9B" w:rsidRPr="00957267" w:rsidRDefault="00AC3E9B" w:rsidP="00AC3E9B">
      <w:pPr>
        <w:spacing w:after="120"/>
        <w:rPr>
          <w:b/>
          <w:bCs/>
          <w:sz w:val="22"/>
          <w:szCs w:val="22"/>
        </w:rPr>
      </w:pPr>
      <w:r w:rsidRPr="00957267">
        <w:rPr>
          <w:b/>
          <w:bCs/>
          <w:sz w:val="22"/>
          <w:szCs w:val="22"/>
        </w:rPr>
        <w:t>Pytanie 8:</w:t>
      </w:r>
    </w:p>
    <w:p w14:paraId="715EF2EA" w14:textId="77777777" w:rsidR="00AC3E9B" w:rsidRPr="00957267" w:rsidRDefault="00AC3E9B" w:rsidP="00AC3E9B">
      <w:pPr>
        <w:spacing w:after="120"/>
        <w:jc w:val="both"/>
        <w:rPr>
          <w:i/>
          <w:iCs/>
          <w:sz w:val="22"/>
          <w:szCs w:val="22"/>
        </w:rPr>
      </w:pPr>
      <w:r w:rsidRPr="00957267">
        <w:rPr>
          <w:i/>
          <w:iCs/>
          <w:sz w:val="22"/>
          <w:szCs w:val="22"/>
        </w:rPr>
        <w:t>W pkt. 35.6.43 SOPZ zamawiający wymaga „Moduł musi pozwalać na skonfigurowanie zasad dotyczących kodów dostępu dla techników logujących się do serwera MDM.” Czy dobrze rozumiemy, że chodzi tu o zasady haseł?</w:t>
      </w:r>
    </w:p>
    <w:p w14:paraId="6299F3A4" w14:textId="77777777" w:rsidR="00AC3E9B" w:rsidRPr="00957267" w:rsidRDefault="00AC3E9B" w:rsidP="00AC3E9B">
      <w:pPr>
        <w:spacing w:after="120"/>
        <w:rPr>
          <w:sz w:val="22"/>
          <w:szCs w:val="22"/>
        </w:rPr>
      </w:pPr>
      <w:r w:rsidRPr="00957267">
        <w:rPr>
          <w:b/>
          <w:bCs/>
          <w:sz w:val="22"/>
          <w:szCs w:val="22"/>
        </w:rPr>
        <w:t>Odpowiedź na pytanie 8:</w:t>
      </w:r>
    </w:p>
    <w:p w14:paraId="3FF486FE" w14:textId="4724C580" w:rsidR="007E6108" w:rsidRDefault="00AC3E9B" w:rsidP="00AC3E9B">
      <w:pPr>
        <w:spacing w:after="240"/>
        <w:jc w:val="both"/>
        <w:rPr>
          <w:sz w:val="22"/>
          <w:szCs w:val="22"/>
        </w:rPr>
      </w:pPr>
      <w:r w:rsidRPr="00957267">
        <w:rPr>
          <w:sz w:val="22"/>
          <w:szCs w:val="22"/>
        </w:rPr>
        <w:t>Tak, Zamawiający zmienia brzmienie pkt 35.6.43 SOPZ na „Moduł musi pozwalać na skonfigurowanie zasad dotyczących haseł dla techników logujących się do serwera MDM.”</w:t>
      </w:r>
    </w:p>
    <w:p w14:paraId="5C80DAE3" w14:textId="763C8E86" w:rsidR="001366D4" w:rsidRDefault="001366D4" w:rsidP="001366D4">
      <w:pPr>
        <w:spacing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</w:t>
      </w:r>
      <w:r w:rsidR="00C738F8">
        <w:rPr>
          <w:sz w:val="22"/>
          <w:szCs w:val="22"/>
        </w:rPr>
        <w:t xml:space="preserve"> zmienia</w:t>
      </w:r>
      <w:r w:rsidR="00CC516F">
        <w:rPr>
          <w:sz w:val="22"/>
          <w:szCs w:val="22"/>
        </w:rPr>
        <w:t xml:space="preserve"> treść SIWZ w następujący sposób</w:t>
      </w:r>
      <w:r w:rsidR="00C738F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D1DE579" w14:textId="29B44ACB" w:rsidR="001366D4" w:rsidRPr="0077140B" w:rsidRDefault="001366D4" w:rsidP="001366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b/>
          <w:sz w:val="22"/>
          <w:szCs w:val="22"/>
        </w:rPr>
      </w:pPr>
      <w:r w:rsidRPr="0077140B">
        <w:rPr>
          <w:rFonts w:cs="Arial"/>
          <w:sz w:val="22"/>
          <w:szCs w:val="22"/>
        </w:rPr>
        <w:t>W rozdziale XVII</w:t>
      </w:r>
      <w:r w:rsidR="00C738F8">
        <w:rPr>
          <w:rFonts w:cs="Arial"/>
          <w:sz w:val="22"/>
          <w:szCs w:val="22"/>
        </w:rPr>
        <w:t>I</w:t>
      </w:r>
      <w:r w:rsidRPr="0077140B">
        <w:rPr>
          <w:rFonts w:cs="Arial"/>
          <w:sz w:val="22"/>
          <w:szCs w:val="22"/>
        </w:rPr>
        <w:t>. Opis sposobu przygotowania oferty – pkt 7 otrzymuje następujące brzmienie:</w:t>
      </w:r>
    </w:p>
    <w:p w14:paraId="3EF9277A" w14:textId="77777777" w:rsidR="001366D4" w:rsidRPr="0077140B" w:rsidRDefault="001366D4" w:rsidP="001366D4">
      <w:pPr>
        <w:spacing w:before="120" w:after="120"/>
        <w:ind w:left="425"/>
        <w:jc w:val="both"/>
        <w:rPr>
          <w:rFonts w:cs="Arial"/>
          <w:sz w:val="22"/>
          <w:szCs w:val="22"/>
        </w:rPr>
      </w:pPr>
      <w:r w:rsidRPr="0077140B">
        <w:rPr>
          <w:rFonts w:cs="Arial"/>
          <w:sz w:val="22"/>
          <w:szCs w:val="22"/>
        </w:rPr>
        <w:t>„7. Oferta wraz z wymaganymi dokumentami musi być opakowana w zamkniętą kopertę opatrzoną pieczęcią wykonawcy (lub nazwą i adresem wykonawcy) i oznaczona:</w:t>
      </w:r>
    </w:p>
    <w:p w14:paraId="51E1B364" w14:textId="77777777" w:rsidR="00C738F8" w:rsidRPr="00C738F8" w:rsidRDefault="00C738F8" w:rsidP="00C738F8">
      <w:pPr>
        <w:pStyle w:val="Akapitzlist"/>
        <w:spacing w:after="120"/>
        <w:jc w:val="center"/>
        <w:rPr>
          <w:rFonts w:cs="Arial"/>
          <w:b/>
          <w:sz w:val="22"/>
          <w:szCs w:val="22"/>
        </w:rPr>
      </w:pPr>
      <w:r w:rsidRPr="00C738F8">
        <w:rPr>
          <w:rFonts w:cs="Arial"/>
          <w:b/>
          <w:sz w:val="22"/>
          <w:szCs w:val="22"/>
        </w:rPr>
        <w:t>„Oferta na dostawę, wdrożenie i uruchomienie systemu do zarządzania stacjami roboczymi wraz z modułem Mobile Device Management– znak sprawy: BZ.261.54.2020</w:t>
      </w:r>
    </w:p>
    <w:p w14:paraId="5AABF764" w14:textId="3A42AEBF" w:rsidR="00C738F8" w:rsidRPr="00C738F8" w:rsidRDefault="00C738F8" w:rsidP="00C738F8">
      <w:pPr>
        <w:pStyle w:val="Akapitzlist"/>
        <w:spacing w:after="120"/>
        <w:jc w:val="center"/>
        <w:rPr>
          <w:rFonts w:cs="Arial"/>
          <w:b/>
          <w:sz w:val="22"/>
          <w:szCs w:val="22"/>
        </w:rPr>
      </w:pPr>
      <w:r w:rsidRPr="00C738F8">
        <w:rPr>
          <w:rFonts w:cs="Arial"/>
          <w:b/>
          <w:sz w:val="22"/>
          <w:szCs w:val="22"/>
        </w:rPr>
        <w:t xml:space="preserve">NIE OTWIERAĆ PRZED </w:t>
      </w:r>
      <w:r w:rsidR="00CC516F">
        <w:rPr>
          <w:rFonts w:cs="Arial"/>
          <w:b/>
          <w:sz w:val="22"/>
          <w:szCs w:val="22"/>
        </w:rPr>
        <w:t>31</w:t>
      </w:r>
      <w:r w:rsidRPr="00C738F8">
        <w:rPr>
          <w:rFonts w:cs="Arial"/>
          <w:b/>
          <w:sz w:val="22"/>
          <w:szCs w:val="22"/>
        </w:rPr>
        <w:t>.08.2020 r. GODZ. 12:30”</w:t>
      </w:r>
    </w:p>
    <w:p w14:paraId="123E9F08" w14:textId="77777777" w:rsidR="00C738F8" w:rsidRPr="00C738F8" w:rsidRDefault="00C738F8" w:rsidP="00C738F8">
      <w:pPr>
        <w:pStyle w:val="Akapitzlist"/>
        <w:spacing w:after="120"/>
        <w:jc w:val="center"/>
        <w:rPr>
          <w:rFonts w:cs="Arial"/>
          <w:sz w:val="22"/>
          <w:szCs w:val="22"/>
        </w:rPr>
      </w:pPr>
      <w:r w:rsidRPr="00C738F8">
        <w:rPr>
          <w:rFonts w:cs="Arial"/>
          <w:b/>
          <w:i/>
          <w:sz w:val="22"/>
          <w:szCs w:val="22"/>
        </w:rPr>
        <w:t>Nie oznaczenie oferty w powyższy sposób może być przyczyną jej otwarcia przed wyznaczonym terminem!</w:t>
      </w:r>
    </w:p>
    <w:p w14:paraId="2DC8834A" w14:textId="5FAE973E" w:rsidR="001366D4" w:rsidRPr="0077140B" w:rsidRDefault="001366D4" w:rsidP="001366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 w:val="22"/>
          <w:szCs w:val="22"/>
        </w:rPr>
      </w:pPr>
      <w:r w:rsidRPr="0077140B">
        <w:rPr>
          <w:rFonts w:cs="Arial"/>
          <w:sz w:val="22"/>
          <w:szCs w:val="22"/>
        </w:rPr>
        <w:t>W</w:t>
      </w:r>
      <w:r w:rsidR="00C738F8">
        <w:rPr>
          <w:rFonts w:cs="Arial"/>
          <w:sz w:val="22"/>
          <w:szCs w:val="22"/>
        </w:rPr>
        <w:t xml:space="preserve"> rozdziale X</w:t>
      </w:r>
      <w:r w:rsidRPr="0077140B">
        <w:rPr>
          <w:rFonts w:cs="Arial"/>
          <w:sz w:val="22"/>
          <w:szCs w:val="22"/>
        </w:rPr>
        <w:t>X. Termin oraz inne informacje dotyczące składania i otwarcia ofert – pkt 1 i 3 otrzymują następujące brzmienie:</w:t>
      </w:r>
    </w:p>
    <w:p w14:paraId="56179D2A" w14:textId="28E3D14A" w:rsidR="00EC240E" w:rsidRPr="00D63B98" w:rsidRDefault="00D63B98" w:rsidP="00D63B98">
      <w:pPr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 1. </w:t>
      </w:r>
      <w:r w:rsidR="00EC240E" w:rsidRPr="00D63B98">
        <w:rPr>
          <w:rFonts w:cs="Arial"/>
          <w:sz w:val="22"/>
          <w:szCs w:val="22"/>
        </w:rPr>
        <w:t xml:space="preserve">Ofertę należy złożyć w siedzibie zamawiającego, tj: </w:t>
      </w:r>
      <w:r w:rsidR="00EC240E" w:rsidRPr="00D63B98">
        <w:rPr>
          <w:rFonts w:cs="Arial"/>
          <w:b/>
          <w:sz w:val="22"/>
          <w:szCs w:val="22"/>
        </w:rPr>
        <w:t>Agencja Rezerw</w:t>
      </w:r>
      <w:r>
        <w:rPr>
          <w:rFonts w:cs="Arial"/>
          <w:b/>
          <w:sz w:val="22"/>
          <w:szCs w:val="22"/>
        </w:rPr>
        <w:br/>
        <w:t xml:space="preserve">     </w:t>
      </w:r>
      <w:r w:rsidR="00EC240E" w:rsidRPr="00D63B9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</w:t>
      </w:r>
      <w:r w:rsidR="00EC240E" w:rsidRPr="00D63B98">
        <w:rPr>
          <w:rFonts w:cs="Arial"/>
          <w:b/>
          <w:sz w:val="22"/>
          <w:szCs w:val="22"/>
        </w:rPr>
        <w:t>Materiałowych, ul. Grzybowska 45, 00-844 Warszawa</w:t>
      </w:r>
      <w:r w:rsidR="00EC240E" w:rsidRPr="00D63B98">
        <w:rPr>
          <w:rFonts w:cs="Arial"/>
          <w:sz w:val="22"/>
          <w:szCs w:val="22"/>
        </w:rPr>
        <w:t>, recepcja, 11</w:t>
      </w:r>
      <w:r>
        <w:rPr>
          <w:rFonts w:cs="Arial"/>
          <w:sz w:val="22"/>
          <w:szCs w:val="22"/>
        </w:rPr>
        <w:br/>
        <w:t xml:space="preserve">       </w:t>
      </w:r>
      <w:r w:rsidR="00EC240E" w:rsidRPr="00D63B98">
        <w:rPr>
          <w:rFonts w:cs="Arial"/>
          <w:sz w:val="22"/>
          <w:szCs w:val="22"/>
        </w:rPr>
        <w:t xml:space="preserve"> piętro, w terminie do dnia </w:t>
      </w:r>
      <w:r w:rsidR="00CC516F" w:rsidRPr="00CC516F">
        <w:rPr>
          <w:rFonts w:cs="Arial"/>
          <w:b/>
          <w:sz w:val="22"/>
          <w:szCs w:val="22"/>
          <w:u w:val="single"/>
        </w:rPr>
        <w:t>31</w:t>
      </w:r>
      <w:r w:rsidR="00EC240E" w:rsidRPr="00CC516F">
        <w:rPr>
          <w:rFonts w:cs="Arial"/>
          <w:b/>
          <w:sz w:val="22"/>
          <w:szCs w:val="22"/>
          <w:u w:val="single"/>
        </w:rPr>
        <w:t>.</w:t>
      </w:r>
      <w:r w:rsidR="00EC240E" w:rsidRPr="00D63B98">
        <w:rPr>
          <w:rFonts w:cs="Arial"/>
          <w:b/>
          <w:sz w:val="22"/>
          <w:szCs w:val="22"/>
          <w:u w:val="single"/>
        </w:rPr>
        <w:t>08.2020 r.</w:t>
      </w:r>
      <w:r w:rsidR="00EC240E" w:rsidRPr="00D63B98">
        <w:rPr>
          <w:rFonts w:cs="Arial"/>
          <w:sz w:val="22"/>
          <w:szCs w:val="22"/>
        </w:rPr>
        <w:t xml:space="preserve"> do godziny </w:t>
      </w:r>
      <w:r w:rsidR="00EC240E" w:rsidRPr="00D63B98">
        <w:rPr>
          <w:rFonts w:cs="Arial"/>
          <w:b/>
          <w:sz w:val="22"/>
          <w:szCs w:val="22"/>
          <w:u w:val="single"/>
        </w:rPr>
        <w:t>12:00</w:t>
      </w:r>
      <w:r w:rsidR="00EC240E" w:rsidRPr="00D63B98">
        <w:rPr>
          <w:rFonts w:cs="Arial"/>
          <w:sz w:val="22"/>
          <w:szCs w:val="22"/>
        </w:rPr>
        <w:t>.</w:t>
      </w:r>
    </w:p>
    <w:p w14:paraId="76A51C55" w14:textId="29A3D17B" w:rsidR="00EC240E" w:rsidRPr="00D63B98" w:rsidRDefault="00EC240E" w:rsidP="00CC516F">
      <w:pPr>
        <w:pStyle w:val="Akapitzlist"/>
        <w:numPr>
          <w:ilvl w:val="0"/>
          <w:numId w:val="5"/>
        </w:numPr>
        <w:spacing w:after="120"/>
        <w:jc w:val="both"/>
        <w:rPr>
          <w:rFonts w:cs="Arial"/>
          <w:sz w:val="22"/>
          <w:szCs w:val="22"/>
        </w:rPr>
      </w:pPr>
      <w:r w:rsidRPr="00D63B98">
        <w:rPr>
          <w:rFonts w:cs="Arial"/>
          <w:sz w:val="22"/>
          <w:szCs w:val="22"/>
        </w:rPr>
        <w:lastRenderedPageBreak/>
        <w:t xml:space="preserve">Otwarcie ofert nastąpi w dniu </w:t>
      </w:r>
      <w:r w:rsidRPr="00D63B98">
        <w:rPr>
          <w:rFonts w:cs="Arial"/>
          <w:b/>
          <w:sz w:val="22"/>
          <w:szCs w:val="22"/>
          <w:u w:val="single"/>
        </w:rPr>
        <w:t>31.08.2020 r. o godzinie 12:30</w:t>
      </w:r>
      <w:r w:rsidRPr="00D63B98">
        <w:rPr>
          <w:rFonts w:cs="Arial"/>
          <w:sz w:val="22"/>
          <w:szCs w:val="22"/>
        </w:rPr>
        <w:t xml:space="preserve"> w </w:t>
      </w:r>
      <w:r w:rsidRPr="00D63B98">
        <w:rPr>
          <w:rFonts w:cs="Arial"/>
          <w:b/>
          <w:sz w:val="22"/>
          <w:szCs w:val="22"/>
        </w:rPr>
        <w:t>Agencji Rezerw Materiałowych, ul. Grzybowska 45, 00-844 Warszawa</w:t>
      </w:r>
      <w:r w:rsidRPr="00D63B98">
        <w:rPr>
          <w:rFonts w:cs="Arial"/>
          <w:sz w:val="22"/>
          <w:szCs w:val="22"/>
        </w:rPr>
        <w:t>, sala konferencyjna, 11 piętro</w:t>
      </w:r>
      <w:r w:rsidR="00D63B98" w:rsidRPr="00D63B98">
        <w:rPr>
          <w:rFonts w:cs="Arial"/>
          <w:sz w:val="22"/>
          <w:szCs w:val="22"/>
        </w:rPr>
        <w:t>”</w:t>
      </w:r>
      <w:r w:rsidRPr="00D63B98">
        <w:rPr>
          <w:rFonts w:cs="Arial"/>
          <w:sz w:val="22"/>
          <w:szCs w:val="22"/>
        </w:rPr>
        <w:t>.</w:t>
      </w:r>
    </w:p>
    <w:p w14:paraId="68B9A10E" w14:textId="6776DD60" w:rsidR="00AC3E9B" w:rsidRPr="00FE6479" w:rsidRDefault="004F334E" w:rsidP="001366D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C3E9B" w:rsidRPr="00FE6479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B268" w14:textId="77777777" w:rsidR="000B7428" w:rsidRDefault="000B7428" w:rsidP="006A0496">
      <w:r>
        <w:separator/>
      </w:r>
    </w:p>
  </w:endnote>
  <w:endnote w:type="continuationSeparator" w:id="0">
    <w:p w14:paraId="7F582FB2" w14:textId="77777777" w:rsidR="000B7428" w:rsidRDefault="000B7428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4A786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A786C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A6E74" w14:textId="77777777" w:rsidR="000B7428" w:rsidRDefault="000B7428" w:rsidP="006A0496">
      <w:r>
        <w:separator/>
      </w:r>
    </w:p>
  </w:footnote>
  <w:footnote w:type="continuationSeparator" w:id="0">
    <w:p w14:paraId="489E75CB" w14:textId="77777777" w:rsidR="000B7428" w:rsidRDefault="000B7428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091E"/>
    <w:rsid w:val="000878C6"/>
    <w:rsid w:val="000B7428"/>
    <w:rsid w:val="00116C29"/>
    <w:rsid w:val="00124409"/>
    <w:rsid w:val="001306D5"/>
    <w:rsid w:val="001366D4"/>
    <w:rsid w:val="001379CC"/>
    <w:rsid w:val="00141FEA"/>
    <w:rsid w:val="001E0C6E"/>
    <w:rsid w:val="001F179C"/>
    <w:rsid w:val="002455B1"/>
    <w:rsid w:val="00285CBE"/>
    <w:rsid w:val="00297681"/>
    <w:rsid w:val="002D1723"/>
    <w:rsid w:val="00306949"/>
    <w:rsid w:val="00322365"/>
    <w:rsid w:val="0032692C"/>
    <w:rsid w:val="00357F32"/>
    <w:rsid w:val="0036588D"/>
    <w:rsid w:val="003C5E43"/>
    <w:rsid w:val="003F68ED"/>
    <w:rsid w:val="00406FF7"/>
    <w:rsid w:val="00473202"/>
    <w:rsid w:val="004A786C"/>
    <w:rsid w:val="004F334E"/>
    <w:rsid w:val="005155E8"/>
    <w:rsid w:val="00577799"/>
    <w:rsid w:val="005A553A"/>
    <w:rsid w:val="005C2BF5"/>
    <w:rsid w:val="005E5CB0"/>
    <w:rsid w:val="00643E28"/>
    <w:rsid w:val="006A0496"/>
    <w:rsid w:val="006D120B"/>
    <w:rsid w:val="007001D2"/>
    <w:rsid w:val="00773A28"/>
    <w:rsid w:val="007A6E91"/>
    <w:rsid w:val="007B30DC"/>
    <w:rsid w:val="007E6108"/>
    <w:rsid w:val="007F7D60"/>
    <w:rsid w:val="008353A5"/>
    <w:rsid w:val="0083654E"/>
    <w:rsid w:val="00836AFE"/>
    <w:rsid w:val="00871BCD"/>
    <w:rsid w:val="008E3657"/>
    <w:rsid w:val="008E3C72"/>
    <w:rsid w:val="00953BA6"/>
    <w:rsid w:val="009953D3"/>
    <w:rsid w:val="009E331C"/>
    <w:rsid w:val="00A337DE"/>
    <w:rsid w:val="00A40136"/>
    <w:rsid w:val="00A926B5"/>
    <w:rsid w:val="00AC3E9B"/>
    <w:rsid w:val="00B0274B"/>
    <w:rsid w:val="00B07D18"/>
    <w:rsid w:val="00B20BCC"/>
    <w:rsid w:val="00B27441"/>
    <w:rsid w:val="00BB3FBC"/>
    <w:rsid w:val="00BD4E94"/>
    <w:rsid w:val="00C20070"/>
    <w:rsid w:val="00C350ED"/>
    <w:rsid w:val="00C629A2"/>
    <w:rsid w:val="00C738F8"/>
    <w:rsid w:val="00C86924"/>
    <w:rsid w:val="00CC516F"/>
    <w:rsid w:val="00CD63C2"/>
    <w:rsid w:val="00D024EC"/>
    <w:rsid w:val="00D25A15"/>
    <w:rsid w:val="00D267FF"/>
    <w:rsid w:val="00D40C04"/>
    <w:rsid w:val="00D63B98"/>
    <w:rsid w:val="00DD72DF"/>
    <w:rsid w:val="00DF3CCA"/>
    <w:rsid w:val="00DF6CF5"/>
    <w:rsid w:val="00E22D74"/>
    <w:rsid w:val="00E25761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A19B0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2020-08-25T09:56:00Z</cp:lastPrinted>
  <dcterms:created xsi:type="dcterms:W3CDTF">2020-08-25T09:57:00Z</dcterms:created>
  <dcterms:modified xsi:type="dcterms:W3CDTF">2020-08-25T09:57:00Z</dcterms:modified>
</cp:coreProperties>
</file>