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6713" w14:textId="070FF489" w:rsidR="00C5168E" w:rsidRPr="001D49FC" w:rsidRDefault="00C5168E" w:rsidP="00C5168E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D49FC">
        <w:rPr>
          <w:rFonts w:ascii="Arial" w:hAnsi="Arial" w:cs="Arial"/>
          <w:sz w:val="22"/>
          <w:szCs w:val="22"/>
        </w:rPr>
        <w:tab/>
        <w:t xml:space="preserve">   </w:t>
      </w:r>
    </w:p>
    <w:p w14:paraId="0DD2F01D" w14:textId="028C3E38" w:rsidR="00C5168E" w:rsidRPr="008B6649" w:rsidRDefault="00C5168E" w:rsidP="00C5168E">
      <w:pPr>
        <w:tabs>
          <w:tab w:val="left" w:pos="5670"/>
        </w:tabs>
        <w:spacing w:before="240" w:after="24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1D49FC">
        <w:rPr>
          <w:rFonts w:ascii="Arial" w:hAnsi="Arial" w:cs="Arial"/>
          <w:sz w:val="22"/>
          <w:szCs w:val="22"/>
        </w:rPr>
        <w:t xml:space="preserve">Warszawa, dnia     </w:t>
      </w:r>
      <w:r w:rsidR="00087592">
        <w:rPr>
          <w:rFonts w:ascii="Arial" w:hAnsi="Arial" w:cs="Arial"/>
          <w:sz w:val="22"/>
          <w:szCs w:val="22"/>
        </w:rPr>
        <w:t xml:space="preserve">   </w:t>
      </w:r>
      <w:r w:rsidRPr="001D49FC">
        <w:rPr>
          <w:rFonts w:ascii="Arial" w:hAnsi="Arial" w:cs="Arial"/>
          <w:sz w:val="22"/>
          <w:szCs w:val="22"/>
        </w:rPr>
        <w:t xml:space="preserve"> </w:t>
      </w:r>
      <w:r w:rsidR="00087592">
        <w:rPr>
          <w:rFonts w:ascii="Arial" w:hAnsi="Arial" w:cs="Arial"/>
          <w:sz w:val="22"/>
          <w:szCs w:val="22"/>
        </w:rPr>
        <w:t>styczeń</w:t>
      </w:r>
      <w:r w:rsidRPr="001D49FC">
        <w:rPr>
          <w:rFonts w:ascii="Arial" w:hAnsi="Arial" w:cs="Arial"/>
          <w:sz w:val="22"/>
          <w:szCs w:val="22"/>
        </w:rPr>
        <w:t xml:space="preserve"> </w:t>
      </w:r>
      <w:r w:rsidR="00087592">
        <w:rPr>
          <w:rFonts w:ascii="Arial" w:hAnsi="Arial" w:cs="Arial"/>
          <w:sz w:val="22"/>
          <w:szCs w:val="22"/>
        </w:rPr>
        <w:t xml:space="preserve"> </w:t>
      </w:r>
      <w:r w:rsidRPr="001D49FC">
        <w:rPr>
          <w:rFonts w:ascii="Arial" w:hAnsi="Arial" w:cs="Arial"/>
          <w:sz w:val="22"/>
          <w:szCs w:val="22"/>
        </w:rPr>
        <w:t>202</w:t>
      </w:r>
      <w:r w:rsidR="00D251E9">
        <w:rPr>
          <w:rFonts w:ascii="Arial" w:hAnsi="Arial" w:cs="Arial"/>
          <w:sz w:val="22"/>
          <w:szCs w:val="22"/>
        </w:rPr>
        <w:t>2</w:t>
      </w:r>
      <w:r w:rsidRPr="001D49FC">
        <w:rPr>
          <w:rFonts w:ascii="Arial" w:hAnsi="Arial" w:cs="Arial"/>
          <w:sz w:val="22"/>
          <w:szCs w:val="22"/>
        </w:rPr>
        <w:t xml:space="preserve"> r.</w:t>
      </w:r>
    </w:p>
    <w:p w14:paraId="70524274" w14:textId="77777777" w:rsidR="00C5168E" w:rsidRPr="001D49FC" w:rsidRDefault="00C5168E" w:rsidP="00C5168E">
      <w:pPr>
        <w:spacing w:line="360" w:lineRule="auto"/>
        <w:ind w:left="4253"/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</w:p>
    <w:p w14:paraId="1ECC45A4" w14:textId="77777777" w:rsidR="00C5168E" w:rsidRPr="001D49FC" w:rsidRDefault="00C5168E" w:rsidP="00C5168E">
      <w:pPr>
        <w:spacing w:line="360" w:lineRule="auto"/>
        <w:ind w:left="4253"/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</w:p>
    <w:p w14:paraId="720D3E5B" w14:textId="5071F712" w:rsidR="006F7C31" w:rsidRPr="001D49FC" w:rsidRDefault="006F7C31" w:rsidP="006F7C3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D49FC">
        <w:rPr>
          <w:rFonts w:ascii="Arial" w:hAnsi="Arial" w:cs="Arial"/>
          <w:b/>
          <w:sz w:val="22"/>
          <w:szCs w:val="22"/>
        </w:rPr>
        <w:t>D E C Y Z J A</w:t>
      </w:r>
    </w:p>
    <w:p w14:paraId="011E2E0F" w14:textId="77777777" w:rsidR="006F7C31" w:rsidRPr="001D49FC" w:rsidRDefault="006F7C31" w:rsidP="006F7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49FC">
        <w:rPr>
          <w:rFonts w:ascii="Arial" w:hAnsi="Arial" w:cs="Arial"/>
          <w:b/>
          <w:sz w:val="22"/>
          <w:szCs w:val="22"/>
        </w:rPr>
        <w:t>Prezesa</w:t>
      </w:r>
    </w:p>
    <w:p w14:paraId="7DD9B8CE" w14:textId="1CBDA76B" w:rsidR="006F7C31" w:rsidRPr="001D49FC" w:rsidRDefault="00774066" w:rsidP="006F7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Rządowej Agencji Rezerw Strategicznych</w:t>
      </w:r>
    </w:p>
    <w:p w14:paraId="2493C25B" w14:textId="2E4DBBA3" w:rsidR="006F7C31" w:rsidRPr="001D49FC" w:rsidRDefault="006F7C31" w:rsidP="006F7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49FC">
        <w:rPr>
          <w:rFonts w:ascii="Arial" w:hAnsi="Arial" w:cs="Arial"/>
          <w:b/>
          <w:sz w:val="22"/>
          <w:szCs w:val="22"/>
        </w:rPr>
        <w:t xml:space="preserve">Nr  BPI –  </w:t>
      </w:r>
      <w:r w:rsidR="0097692F">
        <w:rPr>
          <w:rFonts w:ascii="Arial" w:hAnsi="Arial" w:cs="Arial"/>
          <w:b/>
          <w:sz w:val="22"/>
          <w:szCs w:val="22"/>
        </w:rPr>
        <w:t>1</w:t>
      </w:r>
      <w:r w:rsidRPr="001D49FC">
        <w:rPr>
          <w:rFonts w:ascii="Arial" w:hAnsi="Arial" w:cs="Arial"/>
          <w:b/>
          <w:sz w:val="22"/>
          <w:szCs w:val="22"/>
        </w:rPr>
        <w:t xml:space="preserve"> /I/22</w:t>
      </w:r>
    </w:p>
    <w:p w14:paraId="5393E451" w14:textId="77777777" w:rsidR="006F7C31" w:rsidRPr="001D49FC" w:rsidRDefault="006F7C31" w:rsidP="006F7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49FC">
        <w:rPr>
          <w:rFonts w:ascii="Arial" w:hAnsi="Arial" w:cs="Arial"/>
          <w:b/>
          <w:sz w:val="22"/>
          <w:szCs w:val="22"/>
        </w:rPr>
        <w:t xml:space="preserve">w sprawie udzielenia indywidualnej interpretacji </w:t>
      </w:r>
    </w:p>
    <w:p w14:paraId="6BAAC74C" w14:textId="77777777" w:rsidR="006F7C31" w:rsidRPr="001D49FC" w:rsidRDefault="006F7C31" w:rsidP="006F7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BC90D" w14:textId="3CADDB55" w:rsidR="00C45D0C" w:rsidRPr="000562A5" w:rsidRDefault="006F7C31" w:rsidP="00C45D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9FC">
        <w:rPr>
          <w:rFonts w:ascii="Arial" w:hAnsi="Arial" w:cs="Arial"/>
          <w:sz w:val="22"/>
          <w:szCs w:val="22"/>
        </w:rPr>
        <w:t>Na podstawie art. 34 ust. 1, ust. 5, ust. 16 ustawy z dnia 6 marca 2018 r. – Prawo przedsiębiorców (Dz. U. z 2021 poz. 162), zwanej dalej „upp” w związku z art. 5 ust. 1 oraz art. 21b ust. 1 i ust. 14 ustawy z dnia 16 lutego 2007 r. o zapasach ropy naftowej, produktów naftowych i gazu ziemnego oraz zasadach postępowania w sytuacjach zagrożenia bezpieczeństwa paliwowego państwa i zakłóceń na rynku naftowym (Dz.</w:t>
      </w:r>
      <w:r w:rsidR="001D49FC" w:rsidRPr="001D49FC">
        <w:rPr>
          <w:rFonts w:ascii="Arial" w:hAnsi="Arial" w:cs="Arial"/>
          <w:sz w:val="22"/>
          <w:szCs w:val="22"/>
        </w:rPr>
        <w:t> </w:t>
      </w:r>
      <w:r w:rsidRPr="001D49FC">
        <w:rPr>
          <w:rFonts w:ascii="Arial" w:hAnsi="Arial" w:cs="Arial"/>
          <w:sz w:val="22"/>
          <w:szCs w:val="22"/>
        </w:rPr>
        <w:t xml:space="preserve">U. z 2021 r. poz. 2249), zwanej dalej „ustawą o zapasach”, Prezes </w:t>
      </w:r>
      <w:r w:rsidR="001D49FC" w:rsidRPr="001D49FC">
        <w:rPr>
          <w:rFonts w:ascii="Arial" w:hAnsi="Arial" w:cs="Arial"/>
          <w:sz w:val="22"/>
          <w:szCs w:val="22"/>
        </w:rPr>
        <w:t xml:space="preserve">Rządowej </w:t>
      </w:r>
      <w:r w:rsidRPr="001D49FC">
        <w:rPr>
          <w:rFonts w:ascii="Arial" w:hAnsi="Arial" w:cs="Arial"/>
          <w:sz w:val="22"/>
          <w:szCs w:val="22"/>
        </w:rPr>
        <w:t xml:space="preserve">Agencji Rezerw </w:t>
      </w:r>
      <w:r w:rsidR="001D49FC" w:rsidRPr="001D49FC">
        <w:rPr>
          <w:rFonts w:ascii="Arial" w:hAnsi="Arial" w:cs="Arial"/>
          <w:sz w:val="22"/>
          <w:szCs w:val="22"/>
        </w:rPr>
        <w:t xml:space="preserve">Strategicznych </w:t>
      </w:r>
      <w:r w:rsidRPr="001D49FC">
        <w:rPr>
          <w:rFonts w:ascii="Arial" w:hAnsi="Arial" w:cs="Arial"/>
          <w:sz w:val="22"/>
          <w:szCs w:val="22"/>
        </w:rPr>
        <w:t>stwierdza, że stanowisko</w:t>
      </w:r>
      <w:r w:rsidRPr="001D49FC">
        <w:rPr>
          <w:rFonts w:ascii="Arial" w:hAnsi="Arial" w:cs="Arial"/>
          <w:b/>
          <w:sz w:val="22"/>
          <w:szCs w:val="22"/>
        </w:rPr>
        <w:t xml:space="preserve"> </w:t>
      </w:r>
      <w:r w:rsidR="001D49FC" w:rsidRPr="001D49FC">
        <w:rPr>
          <w:rFonts w:ascii="Arial" w:hAnsi="Arial" w:cs="Arial"/>
          <w:bCs/>
          <w:sz w:val="22"/>
          <w:szCs w:val="22"/>
        </w:rPr>
        <w:t>L</w:t>
      </w:r>
      <w:r w:rsidRPr="001D49FC">
        <w:rPr>
          <w:rFonts w:ascii="Arial" w:hAnsi="Arial" w:cs="Arial"/>
          <w:sz w:val="22"/>
          <w:szCs w:val="22"/>
        </w:rPr>
        <w:t xml:space="preserve"> z siedzibą w</w:t>
      </w:r>
      <w:r w:rsidR="00593F23">
        <w:rPr>
          <w:rFonts w:ascii="Arial" w:hAnsi="Arial" w:cs="Arial"/>
          <w:sz w:val="22"/>
          <w:szCs w:val="22"/>
        </w:rPr>
        <w:t> </w:t>
      </w:r>
      <w:r w:rsidR="001D49FC" w:rsidRPr="001D49FC">
        <w:rPr>
          <w:rFonts w:ascii="Arial" w:hAnsi="Arial" w:cs="Arial"/>
          <w:sz w:val="22"/>
          <w:szCs w:val="22"/>
        </w:rPr>
        <w:t>P</w:t>
      </w:r>
      <w:r w:rsidRPr="001D49FC">
        <w:rPr>
          <w:rFonts w:ascii="Arial" w:hAnsi="Arial" w:cs="Arial"/>
          <w:sz w:val="22"/>
          <w:szCs w:val="22"/>
        </w:rPr>
        <w:t>, przedstawione we wniosku z dnia 2</w:t>
      </w:r>
      <w:r w:rsidR="001D49FC" w:rsidRPr="001D49FC">
        <w:rPr>
          <w:rFonts w:ascii="Arial" w:hAnsi="Arial" w:cs="Arial"/>
          <w:sz w:val="22"/>
          <w:szCs w:val="22"/>
        </w:rPr>
        <w:t>6 października 2021 r.</w:t>
      </w:r>
      <w:r w:rsidRPr="001D49FC">
        <w:rPr>
          <w:rFonts w:ascii="Arial" w:hAnsi="Arial" w:cs="Arial"/>
          <w:sz w:val="22"/>
          <w:szCs w:val="22"/>
        </w:rPr>
        <w:t xml:space="preserve">, </w:t>
      </w:r>
      <w:r w:rsidR="00C45D0C" w:rsidRPr="00526B6C">
        <w:rPr>
          <w:rFonts w:ascii="Arial" w:hAnsi="Arial" w:cs="Arial"/>
          <w:sz w:val="22"/>
          <w:szCs w:val="22"/>
        </w:rPr>
        <w:t xml:space="preserve">o udzielenie pisemnej interpretacji przepisów dotyczących </w:t>
      </w:r>
      <w:r w:rsidR="00593F23">
        <w:rPr>
          <w:rFonts w:ascii="Arial" w:hAnsi="Arial" w:cs="Arial"/>
          <w:sz w:val="22"/>
          <w:szCs w:val="22"/>
        </w:rPr>
        <w:t xml:space="preserve">wpisu do rejestru, </w:t>
      </w:r>
      <w:r w:rsidR="00C45D0C" w:rsidRPr="00526B6C">
        <w:rPr>
          <w:rFonts w:ascii="Arial" w:hAnsi="Arial" w:cs="Arial"/>
          <w:sz w:val="22"/>
          <w:szCs w:val="22"/>
        </w:rPr>
        <w:t xml:space="preserve">obowiązku tworzenia </w:t>
      </w:r>
      <w:r w:rsidR="00C45D0C" w:rsidRPr="000204EF">
        <w:rPr>
          <w:rFonts w:ascii="Arial" w:hAnsi="Arial" w:cs="Arial"/>
          <w:sz w:val="22"/>
          <w:szCs w:val="22"/>
        </w:rPr>
        <w:t>i</w:t>
      </w:r>
      <w:r w:rsidR="00593F23" w:rsidRPr="000204EF">
        <w:rPr>
          <w:rFonts w:ascii="Arial" w:hAnsi="Arial" w:cs="Arial"/>
          <w:sz w:val="22"/>
          <w:szCs w:val="22"/>
        </w:rPr>
        <w:t> </w:t>
      </w:r>
      <w:r w:rsidR="00C45D0C" w:rsidRPr="000204EF">
        <w:rPr>
          <w:rFonts w:ascii="Arial" w:hAnsi="Arial" w:cs="Arial"/>
          <w:sz w:val="22"/>
          <w:szCs w:val="22"/>
        </w:rPr>
        <w:t xml:space="preserve">utrzymywania zapasów obowiązkowych ropy naftowej lub paliw </w:t>
      </w:r>
      <w:r w:rsidR="00593F23" w:rsidRPr="000204EF">
        <w:rPr>
          <w:rFonts w:ascii="Arial" w:hAnsi="Arial" w:cs="Arial"/>
          <w:sz w:val="22"/>
          <w:szCs w:val="22"/>
        </w:rPr>
        <w:t>oraz uiszczania opłaty zapasowej</w:t>
      </w:r>
      <w:r w:rsidR="000562A5" w:rsidRPr="000204EF">
        <w:rPr>
          <w:rFonts w:cs="Arial"/>
        </w:rPr>
        <w:t xml:space="preserve"> </w:t>
      </w:r>
      <w:r w:rsidR="000562A5" w:rsidRPr="000204EF">
        <w:rPr>
          <w:rFonts w:ascii="Arial" w:hAnsi="Arial" w:cs="Arial"/>
          <w:sz w:val="22"/>
          <w:szCs w:val="22"/>
        </w:rPr>
        <w:t xml:space="preserve">tytułu przywozu wskazanego we wniosku produktu o kodzie  CN 2710 19 </w:t>
      </w:r>
      <w:r w:rsidR="000204EF" w:rsidRPr="000204EF">
        <w:rPr>
          <w:rFonts w:ascii="Arial" w:hAnsi="Arial" w:cs="Arial"/>
          <w:sz w:val="22"/>
          <w:szCs w:val="22"/>
        </w:rPr>
        <w:t xml:space="preserve">29 </w:t>
      </w:r>
      <w:r w:rsidR="00593F23" w:rsidRPr="000204EF">
        <w:rPr>
          <w:rFonts w:ascii="Arial" w:hAnsi="Arial" w:cs="Arial"/>
          <w:sz w:val="22"/>
          <w:szCs w:val="22"/>
        </w:rPr>
        <w:t xml:space="preserve"> </w:t>
      </w:r>
      <w:r w:rsidR="00C45D0C" w:rsidRPr="000204EF">
        <w:rPr>
          <w:rFonts w:ascii="Arial" w:hAnsi="Arial" w:cs="Arial"/>
          <w:b/>
          <w:sz w:val="22"/>
          <w:szCs w:val="22"/>
        </w:rPr>
        <w:t>jest nieprawidłowe.</w:t>
      </w:r>
      <w:r w:rsidR="00C45D0C" w:rsidRPr="000562A5">
        <w:rPr>
          <w:rFonts w:ascii="Arial" w:hAnsi="Arial" w:cs="Arial"/>
          <w:b/>
          <w:sz w:val="22"/>
          <w:szCs w:val="22"/>
        </w:rPr>
        <w:t xml:space="preserve"> </w:t>
      </w:r>
    </w:p>
    <w:p w14:paraId="26990BE2" w14:textId="77777777" w:rsidR="006F7C31" w:rsidRPr="001D49FC" w:rsidRDefault="006F7C31" w:rsidP="006F7C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69A6D4" w14:textId="77777777" w:rsidR="006F7C31" w:rsidRPr="001D49FC" w:rsidRDefault="006F7C31" w:rsidP="006F7C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49FC">
        <w:rPr>
          <w:rFonts w:ascii="Arial" w:hAnsi="Arial" w:cs="Arial"/>
          <w:b/>
          <w:sz w:val="22"/>
          <w:szCs w:val="22"/>
        </w:rPr>
        <w:t>UZASADNIENIE</w:t>
      </w:r>
    </w:p>
    <w:p w14:paraId="68320907" w14:textId="77777777" w:rsidR="006F7C31" w:rsidRPr="001D49FC" w:rsidRDefault="006F7C31" w:rsidP="006F7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12E9A" w14:textId="734626EC" w:rsidR="006F7C31" w:rsidRPr="001D49FC" w:rsidRDefault="006F7C31" w:rsidP="006F7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49FC">
        <w:rPr>
          <w:rFonts w:ascii="Arial" w:hAnsi="Arial" w:cs="Arial"/>
          <w:sz w:val="22"/>
          <w:szCs w:val="22"/>
        </w:rPr>
        <w:t>Wnioskiem z dnia 2</w:t>
      </w:r>
      <w:r w:rsidR="00593F23">
        <w:rPr>
          <w:rFonts w:ascii="Arial" w:hAnsi="Arial" w:cs="Arial"/>
          <w:sz w:val="22"/>
          <w:szCs w:val="22"/>
        </w:rPr>
        <w:t>6 października</w:t>
      </w:r>
      <w:r w:rsidRPr="001D49FC">
        <w:rPr>
          <w:rFonts w:ascii="Arial" w:hAnsi="Arial" w:cs="Arial"/>
          <w:sz w:val="22"/>
          <w:szCs w:val="22"/>
        </w:rPr>
        <w:t xml:space="preserve"> 202</w:t>
      </w:r>
      <w:r w:rsidR="00593F23">
        <w:rPr>
          <w:rFonts w:ascii="Arial" w:hAnsi="Arial" w:cs="Arial"/>
          <w:sz w:val="22"/>
          <w:szCs w:val="22"/>
        </w:rPr>
        <w:t>1</w:t>
      </w:r>
      <w:r w:rsidRPr="001D49FC">
        <w:rPr>
          <w:rFonts w:ascii="Arial" w:hAnsi="Arial" w:cs="Arial"/>
          <w:sz w:val="22"/>
          <w:szCs w:val="22"/>
        </w:rPr>
        <w:t xml:space="preserve"> r., (data wpływu do Prezesa </w:t>
      </w:r>
      <w:r w:rsidR="0074712D">
        <w:rPr>
          <w:rFonts w:ascii="Arial" w:hAnsi="Arial" w:cs="Arial"/>
          <w:sz w:val="22"/>
          <w:szCs w:val="22"/>
        </w:rPr>
        <w:t xml:space="preserve">Rządowej </w:t>
      </w:r>
      <w:r w:rsidRPr="001D49FC">
        <w:rPr>
          <w:rFonts w:ascii="Arial" w:hAnsi="Arial" w:cs="Arial"/>
          <w:sz w:val="22"/>
          <w:szCs w:val="22"/>
        </w:rPr>
        <w:t xml:space="preserve">Agencji Rezerw </w:t>
      </w:r>
      <w:r w:rsidR="0074712D">
        <w:rPr>
          <w:rFonts w:ascii="Arial" w:hAnsi="Arial" w:cs="Arial"/>
          <w:sz w:val="22"/>
          <w:szCs w:val="22"/>
        </w:rPr>
        <w:t>Strategicznych</w:t>
      </w:r>
      <w:r w:rsidRPr="001D49FC">
        <w:rPr>
          <w:rFonts w:ascii="Arial" w:hAnsi="Arial" w:cs="Arial"/>
          <w:sz w:val="22"/>
          <w:szCs w:val="22"/>
        </w:rPr>
        <w:t xml:space="preserve">, dalej: „Prezes Agencji”, w dniu </w:t>
      </w:r>
      <w:r w:rsidR="0074712D">
        <w:rPr>
          <w:rFonts w:ascii="Arial" w:hAnsi="Arial" w:cs="Arial"/>
          <w:sz w:val="22"/>
          <w:szCs w:val="22"/>
        </w:rPr>
        <w:t>8 listopada</w:t>
      </w:r>
      <w:r w:rsidRPr="001D49FC">
        <w:rPr>
          <w:rFonts w:ascii="Arial" w:hAnsi="Arial" w:cs="Arial"/>
          <w:sz w:val="22"/>
          <w:szCs w:val="22"/>
        </w:rPr>
        <w:t xml:space="preserve"> 202</w:t>
      </w:r>
      <w:r w:rsidR="0074712D">
        <w:rPr>
          <w:rFonts w:ascii="Arial" w:hAnsi="Arial" w:cs="Arial"/>
          <w:sz w:val="22"/>
          <w:szCs w:val="22"/>
        </w:rPr>
        <w:t>1</w:t>
      </w:r>
      <w:r w:rsidRPr="001D49FC">
        <w:rPr>
          <w:rFonts w:ascii="Arial" w:hAnsi="Arial" w:cs="Arial"/>
          <w:sz w:val="22"/>
          <w:szCs w:val="22"/>
        </w:rPr>
        <w:t xml:space="preserve"> r.), Spółka</w:t>
      </w:r>
      <w:r w:rsidR="0074712D" w:rsidRPr="0074712D">
        <w:rPr>
          <w:rFonts w:ascii="Arial" w:hAnsi="Arial" w:cs="Arial"/>
          <w:sz w:val="22"/>
          <w:szCs w:val="22"/>
        </w:rPr>
        <w:t xml:space="preserve"> </w:t>
      </w:r>
      <w:r w:rsidR="005439B1">
        <w:rPr>
          <w:rFonts w:ascii="Arial" w:hAnsi="Arial" w:cs="Arial"/>
          <w:bCs/>
          <w:sz w:val="22"/>
          <w:szCs w:val="22"/>
        </w:rPr>
        <w:t>L z s</w:t>
      </w:r>
      <w:r w:rsidR="0074712D" w:rsidRPr="001D49FC">
        <w:rPr>
          <w:rFonts w:ascii="Arial" w:hAnsi="Arial" w:cs="Arial"/>
          <w:sz w:val="22"/>
          <w:szCs w:val="22"/>
        </w:rPr>
        <w:t>iedzibą w</w:t>
      </w:r>
      <w:r w:rsidR="0074712D">
        <w:rPr>
          <w:rFonts w:ascii="Arial" w:hAnsi="Arial" w:cs="Arial"/>
          <w:sz w:val="22"/>
          <w:szCs w:val="22"/>
        </w:rPr>
        <w:t> </w:t>
      </w:r>
      <w:r w:rsidR="0074712D" w:rsidRPr="001D49FC">
        <w:rPr>
          <w:rFonts w:ascii="Arial" w:hAnsi="Arial" w:cs="Arial"/>
          <w:sz w:val="22"/>
          <w:szCs w:val="22"/>
        </w:rPr>
        <w:t>P</w:t>
      </w:r>
      <w:r w:rsidR="0074712D">
        <w:rPr>
          <w:rFonts w:ascii="Arial" w:hAnsi="Arial" w:cs="Arial"/>
          <w:sz w:val="22"/>
          <w:szCs w:val="22"/>
        </w:rPr>
        <w:t xml:space="preserve"> </w:t>
      </w:r>
      <w:r w:rsidRPr="001D49FC">
        <w:rPr>
          <w:rFonts w:ascii="Arial" w:hAnsi="Arial" w:cs="Arial"/>
          <w:sz w:val="22"/>
          <w:szCs w:val="22"/>
        </w:rPr>
        <w:t xml:space="preserve">- zwana dalej „Wnioskodawcą”, zwróciła się </w:t>
      </w:r>
      <w:r w:rsidR="00EF2DB7">
        <w:rPr>
          <w:rFonts w:ascii="Arial" w:hAnsi="Arial" w:cs="Arial"/>
          <w:sz w:val="22"/>
          <w:szCs w:val="22"/>
        </w:rPr>
        <w:t xml:space="preserve">do Prezesa Agencji </w:t>
      </w:r>
      <w:r w:rsidRPr="001D49FC">
        <w:rPr>
          <w:rFonts w:ascii="Arial" w:hAnsi="Arial" w:cs="Arial"/>
          <w:sz w:val="22"/>
          <w:szCs w:val="22"/>
        </w:rPr>
        <w:t>o wydanie pisemnej interpretacji indywidualnej co do zakresu i</w:t>
      </w:r>
      <w:r w:rsidR="00B134E4">
        <w:rPr>
          <w:rFonts w:ascii="Arial" w:hAnsi="Arial" w:cs="Arial"/>
          <w:sz w:val="22"/>
          <w:szCs w:val="22"/>
        </w:rPr>
        <w:t> </w:t>
      </w:r>
      <w:r w:rsidRPr="001D49FC">
        <w:rPr>
          <w:rFonts w:ascii="Arial" w:hAnsi="Arial" w:cs="Arial"/>
          <w:sz w:val="22"/>
          <w:szCs w:val="22"/>
        </w:rPr>
        <w:t>sposobu stosowania przepisów ustawy o</w:t>
      </w:r>
      <w:r w:rsidR="005439B1">
        <w:rPr>
          <w:rFonts w:ascii="Arial" w:hAnsi="Arial" w:cs="Arial"/>
          <w:sz w:val="22"/>
          <w:szCs w:val="22"/>
        </w:rPr>
        <w:t> </w:t>
      </w:r>
      <w:r w:rsidRPr="001D49FC">
        <w:rPr>
          <w:rFonts w:ascii="Arial" w:hAnsi="Arial" w:cs="Arial"/>
          <w:sz w:val="22"/>
          <w:szCs w:val="22"/>
        </w:rPr>
        <w:t xml:space="preserve">zapasach. </w:t>
      </w:r>
    </w:p>
    <w:p w14:paraId="76B5BAB6" w14:textId="7063EDD4" w:rsidR="006F7C31" w:rsidRDefault="006F7C31" w:rsidP="006F7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49FC">
        <w:rPr>
          <w:rFonts w:ascii="Arial" w:hAnsi="Arial" w:cs="Arial"/>
          <w:sz w:val="22"/>
          <w:szCs w:val="22"/>
        </w:rPr>
        <w:lastRenderedPageBreak/>
        <w:t>W dniu 2</w:t>
      </w:r>
      <w:r w:rsidR="00251042">
        <w:rPr>
          <w:rFonts w:ascii="Arial" w:hAnsi="Arial" w:cs="Arial"/>
          <w:sz w:val="22"/>
          <w:szCs w:val="22"/>
        </w:rPr>
        <w:t>8 października</w:t>
      </w:r>
      <w:r w:rsidRPr="001D49FC">
        <w:rPr>
          <w:rFonts w:ascii="Arial" w:hAnsi="Arial" w:cs="Arial"/>
          <w:sz w:val="22"/>
          <w:szCs w:val="22"/>
        </w:rPr>
        <w:t xml:space="preserve"> 202</w:t>
      </w:r>
      <w:r w:rsidR="00251042">
        <w:rPr>
          <w:rFonts w:ascii="Arial" w:hAnsi="Arial" w:cs="Arial"/>
          <w:sz w:val="22"/>
          <w:szCs w:val="22"/>
        </w:rPr>
        <w:t>1</w:t>
      </w:r>
      <w:r w:rsidRPr="001D49FC">
        <w:rPr>
          <w:rFonts w:ascii="Arial" w:hAnsi="Arial" w:cs="Arial"/>
          <w:sz w:val="22"/>
          <w:szCs w:val="22"/>
        </w:rPr>
        <w:t xml:space="preserve"> r. Wnioskodawca uiścił wymaganą opłatę</w:t>
      </w:r>
      <w:r w:rsidR="00B134E4">
        <w:rPr>
          <w:rFonts w:ascii="Arial" w:hAnsi="Arial" w:cs="Arial"/>
          <w:sz w:val="22"/>
          <w:szCs w:val="22"/>
        </w:rPr>
        <w:t xml:space="preserve"> </w:t>
      </w:r>
      <w:r w:rsidRPr="001D49FC">
        <w:rPr>
          <w:rFonts w:ascii="Arial" w:hAnsi="Arial" w:cs="Arial"/>
          <w:sz w:val="22"/>
          <w:szCs w:val="22"/>
        </w:rPr>
        <w:t>od wniosku.</w:t>
      </w:r>
    </w:p>
    <w:p w14:paraId="44A7DDC5" w14:textId="52058213" w:rsidR="00F96AB5" w:rsidRDefault="00F96AB5" w:rsidP="00F96A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Pismem z dnia 15 listopada 2021 r. Prezes Agencji wezwał Wnioskodawcę do usunięcia braku formalnego wniosku poprzez przedstawienie własnego stanowiska w sprawie oraz o dosłanie karty charakterystyki produktu C, która została wymieniona jako załącznik do wniosku o wydanie interpretacji.</w:t>
      </w:r>
      <w:r w:rsidR="00567013">
        <w:rPr>
          <w:rFonts w:ascii="Arial" w:hAnsi="Arial" w:cs="Arial"/>
          <w:sz w:val="22"/>
          <w:szCs w:val="22"/>
        </w:rPr>
        <w:t xml:space="preserve"> Pismo zostało doręczone Wnioskodawcy w dniu 17 listopada 2021 r.</w:t>
      </w:r>
    </w:p>
    <w:p w14:paraId="190190DA" w14:textId="4DBF797A" w:rsidR="00F96AB5" w:rsidRDefault="00F96AB5" w:rsidP="00F96A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wezwanie </w:t>
      </w:r>
      <w:r w:rsidR="00EF2DB7">
        <w:rPr>
          <w:rFonts w:ascii="Arial" w:hAnsi="Arial" w:cs="Arial"/>
          <w:sz w:val="22"/>
          <w:szCs w:val="22"/>
        </w:rPr>
        <w:t xml:space="preserve">pismem </w:t>
      </w:r>
      <w:r>
        <w:rPr>
          <w:rFonts w:ascii="Arial" w:hAnsi="Arial" w:cs="Arial"/>
          <w:sz w:val="22"/>
          <w:szCs w:val="22"/>
        </w:rPr>
        <w:t xml:space="preserve">z dnia </w:t>
      </w:r>
      <w:r w:rsidR="00ED6002">
        <w:rPr>
          <w:rFonts w:ascii="Arial" w:hAnsi="Arial" w:cs="Arial"/>
          <w:sz w:val="22"/>
          <w:szCs w:val="22"/>
        </w:rPr>
        <w:t>18 listopada 2021 r. (data wpływu do</w:t>
      </w:r>
      <w:r w:rsidR="00482A5C">
        <w:rPr>
          <w:rFonts w:ascii="Arial" w:hAnsi="Arial" w:cs="Arial"/>
          <w:sz w:val="22"/>
          <w:szCs w:val="22"/>
        </w:rPr>
        <w:t> </w:t>
      </w:r>
      <w:r w:rsidR="00ED6002">
        <w:rPr>
          <w:rFonts w:ascii="Arial" w:hAnsi="Arial" w:cs="Arial"/>
          <w:sz w:val="22"/>
          <w:szCs w:val="22"/>
        </w:rPr>
        <w:t>Prezesa Agencji 24 listopada 2021 r.) Wnioskodawca przedstawił swoje stanowisko w</w:t>
      </w:r>
      <w:r w:rsidR="00482A5C">
        <w:rPr>
          <w:rFonts w:ascii="Arial" w:hAnsi="Arial" w:cs="Arial"/>
          <w:sz w:val="22"/>
          <w:szCs w:val="22"/>
        </w:rPr>
        <w:t> </w:t>
      </w:r>
      <w:r w:rsidR="00ED6002">
        <w:rPr>
          <w:rFonts w:ascii="Arial" w:hAnsi="Arial" w:cs="Arial"/>
          <w:sz w:val="22"/>
          <w:szCs w:val="22"/>
        </w:rPr>
        <w:t>sprawie.</w:t>
      </w:r>
    </w:p>
    <w:p w14:paraId="10FC1010" w14:textId="5456D5E2" w:rsidR="00ED6002" w:rsidRDefault="00ED6002" w:rsidP="00ED600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Pismem z dnia 6 grudnia 2021 r. Prezes Agencji ponownie wezwał Wnioskodawcę do usunięcia braku formalnego wniosku poprzez przedstawienie stanu faktycznego w sposób umożliwiający organowi  merytoryczne rozstrzygnięcie przedmiotowego wniosku, tj. uwzględnienie w stanie faktycznym parametrów składu frakcyjnego produktu C, w tym głównie temperaturę początku i końca destylacji.</w:t>
      </w:r>
      <w:r w:rsidR="00567013" w:rsidRPr="00567013">
        <w:t xml:space="preserve"> </w:t>
      </w:r>
      <w:r w:rsidR="00567013" w:rsidRPr="00567013">
        <w:rPr>
          <w:rFonts w:ascii="Arial" w:hAnsi="Arial" w:cs="Arial"/>
          <w:sz w:val="22"/>
          <w:szCs w:val="22"/>
        </w:rPr>
        <w:t>Pismo zostało doręczone Wnioskodawcy w</w:t>
      </w:r>
      <w:r w:rsidR="005439B1">
        <w:rPr>
          <w:rFonts w:ascii="Arial" w:hAnsi="Arial" w:cs="Arial"/>
          <w:sz w:val="22"/>
          <w:szCs w:val="22"/>
        </w:rPr>
        <w:t> </w:t>
      </w:r>
      <w:r w:rsidR="00567013" w:rsidRPr="00567013">
        <w:rPr>
          <w:rFonts w:ascii="Arial" w:hAnsi="Arial" w:cs="Arial"/>
          <w:sz w:val="22"/>
          <w:szCs w:val="22"/>
        </w:rPr>
        <w:t xml:space="preserve">dniu </w:t>
      </w:r>
      <w:r w:rsidR="00567013">
        <w:rPr>
          <w:rFonts w:ascii="Arial" w:hAnsi="Arial" w:cs="Arial"/>
          <w:sz w:val="22"/>
          <w:szCs w:val="22"/>
        </w:rPr>
        <w:t>9</w:t>
      </w:r>
      <w:r w:rsidR="00567013" w:rsidRPr="00567013">
        <w:rPr>
          <w:rFonts w:ascii="Arial" w:hAnsi="Arial" w:cs="Arial"/>
          <w:sz w:val="22"/>
          <w:szCs w:val="22"/>
        </w:rPr>
        <w:t xml:space="preserve"> </w:t>
      </w:r>
      <w:r w:rsidR="00567013">
        <w:rPr>
          <w:rFonts w:ascii="Arial" w:hAnsi="Arial" w:cs="Arial"/>
          <w:sz w:val="22"/>
          <w:szCs w:val="22"/>
        </w:rPr>
        <w:t>grudnia</w:t>
      </w:r>
      <w:r w:rsidR="00567013" w:rsidRPr="00567013">
        <w:rPr>
          <w:rFonts w:ascii="Arial" w:hAnsi="Arial" w:cs="Arial"/>
          <w:sz w:val="22"/>
          <w:szCs w:val="22"/>
        </w:rPr>
        <w:t xml:space="preserve"> 2021 r.</w:t>
      </w:r>
    </w:p>
    <w:p w14:paraId="08ECDE6A" w14:textId="44838145" w:rsidR="00567013" w:rsidRDefault="00567013" w:rsidP="00ED600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7013">
        <w:rPr>
          <w:rFonts w:ascii="Arial" w:hAnsi="Arial" w:cs="Arial"/>
          <w:sz w:val="22"/>
          <w:szCs w:val="22"/>
        </w:rPr>
        <w:t>W odpowiedzi na wezwanie pismem z dnia 1</w:t>
      </w:r>
      <w:r>
        <w:rPr>
          <w:rFonts w:ascii="Arial" w:hAnsi="Arial" w:cs="Arial"/>
          <w:sz w:val="22"/>
          <w:szCs w:val="22"/>
        </w:rPr>
        <w:t>4</w:t>
      </w:r>
      <w:r w:rsidRPr="00567013">
        <w:rPr>
          <w:rFonts w:ascii="Arial" w:hAnsi="Arial" w:cs="Arial"/>
          <w:sz w:val="22"/>
          <w:szCs w:val="22"/>
        </w:rPr>
        <w:t xml:space="preserve"> listopada 2021 r. (data wpływu do</w:t>
      </w:r>
      <w:r w:rsidR="00482A5C">
        <w:rPr>
          <w:rFonts w:ascii="Arial" w:hAnsi="Arial" w:cs="Arial"/>
          <w:sz w:val="22"/>
          <w:szCs w:val="22"/>
        </w:rPr>
        <w:t> </w:t>
      </w:r>
      <w:r w:rsidRPr="00567013">
        <w:rPr>
          <w:rFonts w:ascii="Arial" w:hAnsi="Arial" w:cs="Arial"/>
          <w:sz w:val="22"/>
          <w:szCs w:val="22"/>
        </w:rPr>
        <w:t>Prezesa Agencji 2</w:t>
      </w:r>
      <w:r>
        <w:rPr>
          <w:rFonts w:ascii="Arial" w:hAnsi="Arial" w:cs="Arial"/>
          <w:sz w:val="22"/>
          <w:szCs w:val="22"/>
        </w:rPr>
        <w:t>0</w:t>
      </w:r>
      <w:r w:rsidRPr="00567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567013">
        <w:rPr>
          <w:rFonts w:ascii="Arial" w:hAnsi="Arial" w:cs="Arial"/>
          <w:sz w:val="22"/>
          <w:szCs w:val="22"/>
        </w:rPr>
        <w:t xml:space="preserve"> 2021 r.) Wnioskodawca przedstawił </w:t>
      </w:r>
      <w:r>
        <w:rPr>
          <w:rFonts w:ascii="Arial" w:hAnsi="Arial" w:cs="Arial"/>
          <w:sz w:val="22"/>
          <w:szCs w:val="22"/>
        </w:rPr>
        <w:t>informację nt. składu frakcyjnego oraz temperatury wrzenia jak również poinformował Prezesa Agencji iż nie dysponuje informacjami nt. temperatury początku i końca destylacji</w:t>
      </w:r>
      <w:r w:rsidRPr="00567013">
        <w:rPr>
          <w:rFonts w:ascii="Arial" w:hAnsi="Arial" w:cs="Arial"/>
          <w:sz w:val="22"/>
          <w:szCs w:val="22"/>
        </w:rPr>
        <w:t>.</w:t>
      </w:r>
    </w:p>
    <w:p w14:paraId="3F27E036" w14:textId="77777777" w:rsidR="00593F23" w:rsidRPr="001D49FC" w:rsidRDefault="00593F23" w:rsidP="006F7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4C8C01E" w14:textId="7FFFD5F8" w:rsidR="006F7C31" w:rsidRDefault="006F7C31" w:rsidP="006F7C3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49FC">
        <w:rPr>
          <w:rFonts w:ascii="Arial" w:hAnsi="Arial" w:cs="Arial"/>
          <w:b/>
          <w:sz w:val="22"/>
          <w:szCs w:val="22"/>
        </w:rPr>
        <w:t xml:space="preserve">We wniosku Wnioskodawca przedstawił niżej opisany stan faktyczny oraz swoje stanowisko: </w:t>
      </w:r>
    </w:p>
    <w:p w14:paraId="2D29FF3F" w14:textId="687F6218" w:rsidR="008F0550" w:rsidRDefault="00C52768" w:rsidP="00482A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Wnioskodawca od grudnia 2018 r. nabywa surowiec do produkcji kosmetyków, oznaczony jako C, kwalifikowany jako paliwo ciekłe </w:t>
      </w:r>
      <w:r w:rsidR="00567013">
        <w:rPr>
          <w:rFonts w:ascii="Arial" w:hAnsi="Arial" w:cs="Arial"/>
          <w:bCs/>
          <w:sz w:val="22"/>
          <w:szCs w:val="22"/>
        </w:rPr>
        <w:t xml:space="preserve">o </w:t>
      </w:r>
      <w:r w:rsidR="00CD15B9">
        <w:rPr>
          <w:rFonts w:ascii="Arial" w:hAnsi="Arial" w:cs="Arial"/>
          <w:bCs/>
          <w:sz w:val="22"/>
          <w:szCs w:val="22"/>
        </w:rPr>
        <w:t>k</w:t>
      </w:r>
      <w:r w:rsidR="00567013">
        <w:rPr>
          <w:rFonts w:ascii="Arial" w:hAnsi="Arial" w:cs="Arial"/>
          <w:bCs/>
          <w:sz w:val="22"/>
          <w:szCs w:val="22"/>
        </w:rPr>
        <w:t xml:space="preserve">odzie CN </w:t>
      </w:r>
      <w:r>
        <w:rPr>
          <w:rFonts w:ascii="Arial" w:hAnsi="Arial" w:cs="Arial"/>
          <w:bCs/>
          <w:sz w:val="22"/>
          <w:szCs w:val="22"/>
        </w:rPr>
        <w:t xml:space="preserve">2710 19 29 – inne rodzaje nafty. </w:t>
      </w:r>
      <w:r w:rsidR="00CD15B9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użycie ww. surowca kształtuje się na poziomie 1100 kg., w ilościach niezbędnych do </w:t>
      </w:r>
      <w:r w:rsidR="00CD15B9">
        <w:rPr>
          <w:rFonts w:ascii="Arial" w:hAnsi="Arial" w:cs="Arial"/>
          <w:bCs/>
          <w:sz w:val="22"/>
          <w:szCs w:val="22"/>
        </w:rPr>
        <w:t xml:space="preserve">bieżącej </w:t>
      </w:r>
      <w:r>
        <w:rPr>
          <w:rFonts w:ascii="Arial" w:hAnsi="Arial" w:cs="Arial"/>
          <w:bCs/>
          <w:sz w:val="22"/>
          <w:szCs w:val="22"/>
        </w:rPr>
        <w:t>produkcji</w:t>
      </w:r>
      <w:r w:rsidR="002F304A">
        <w:rPr>
          <w:rFonts w:ascii="Arial" w:hAnsi="Arial" w:cs="Arial"/>
          <w:bCs/>
          <w:sz w:val="22"/>
          <w:szCs w:val="22"/>
        </w:rPr>
        <w:t xml:space="preserve">. </w:t>
      </w:r>
      <w:r w:rsidR="008F0550">
        <w:rPr>
          <w:rFonts w:ascii="Arial" w:hAnsi="Arial" w:cs="Arial"/>
          <w:bCs/>
          <w:sz w:val="22"/>
          <w:szCs w:val="22"/>
        </w:rPr>
        <w:t xml:space="preserve">W opinii Wnioskodawcy tak niewielki zakup surowca wykorzystywanego do bieżącej produkcji kosmetyków nie wpływa na bezpieczeństwo paliwowe państwa ani </w:t>
      </w:r>
      <w:r w:rsidR="00CD15B9">
        <w:rPr>
          <w:rFonts w:ascii="Arial" w:hAnsi="Arial" w:cs="Arial"/>
          <w:bCs/>
          <w:sz w:val="22"/>
          <w:szCs w:val="22"/>
        </w:rPr>
        <w:t>na </w:t>
      </w:r>
      <w:r w:rsidR="008F0550">
        <w:rPr>
          <w:rFonts w:ascii="Arial" w:hAnsi="Arial" w:cs="Arial"/>
          <w:bCs/>
          <w:sz w:val="22"/>
          <w:szCs w:val="22"/>
        </w:rPr>
        <w:t>zakłócenia na rynku paliwowym. Zdaniem Wnioskodawcy</w:t>
      </w:r>
      <w:r w:rsidR="00D37D80">
        <w:rPr>
          <w:rFonts w:ascii="Arial" w:hAnsi="Arial" w:cs="Arial"/>
          <w:bCs/>
          <w:sz w:val="22"/>
          <w:szCs w:val="22"/>
        </w:rPr>
        <w:t xml:space="preserve"> daje to</w:t>
      </w:r>
      <w:r w:rsidR="00482A5C">
        <w:rPr>
          <w:rFonts w:ascii="Arial" w:hAnsi="Arial" w:cs="Arial"/>
          <w:bCs/>
          <w:sz w:val="22"/>
          <w:szCs w:val="22"/>
        </w:rPr>
        <w:t> </w:t>
      </w:r>
      <w:r w:rsidR="00D37D80">
        <w:rPr>
          <w:rFonts w:ascii="Arial" w:hAnsi="Arial" w:cs="Arial"/>
          <w:bCs/>
          <w:sz w:val="22"/>
          <w:szCs w:val="22"/>
        </w:rPr>
        <w:t xml:space="preserve">podstawę </w:t>
      </w:r>
      <w:r w:rsidR="00083F01">
        <w:rPr>
          <w:rFonts w:ascii="Arial" w:hAnsi="Arial" w:cs="Arial"/>
          <w:bCs/>
          <w:sz w:val="22"/>
          <w:szCs w:val="22"/>
        </w:rPr>
        <w:t xml:space="preserve">do interpretacji, że nie </w:t>
      </w:r>
      <w:r w:rsidR="00E927E9">
        <w:rPr>
          <w:rFonts w:ascii="Arial" w:hAnsi="Arial" w:cs="Arial"/>
          <w:bCs/>
          <w:sz w:val="22"/>
          <w:szCs w:val="22"/>
        </w:rPr>
        <w:t xml:space="preserve">powinien on </w:t>
      </w:r>
      <w:r w:rsidR="00083F01">
        <w:rPr>
          <w:rFonts w:ascii="Arial" w:hAnsi="Arial" w:cs="Arial"/>
          <w:bCs/>
          <w:sz w:val="22"/>
          <w:szCs w:val="22"/>
        </w:rPr>
        <w:t>podlega</w:t>
      </w:r>
      <w:r w:rsidR="00E927E9">
        <w:rPr>
          <w:rFonts w:ascii="Arial" w:hAnsi="Arial" w:cs="Arial"/>
          <w:bCs/>
          <w:sz w:val="22"/>
          <w:szCs w:val="22"/>
        </w:rPr>
        <w:t>ć</w:t>
      </w:r>
      <w:r w:rsidR="00083F01">
        <w:rPr>
          <w:rFonts w:ascii="Arial" w:hAnsi="Arial" w:cs="Arial"/>
          <w:bCs/>
          <w:sz w:val="22"/>
          <w:szCs w:val="22"/>
        </w:rPr>
        <w:t xml:space="preserve">  obowiązkowi wpisu do rejestru, </w:t>
      </w:r>
      <w:r w:rsidR="00CD15B9">
        <w:rPr>
          <w:rFonts w:ascii="Arial" w:hAnsi="Arial" w:cs="Arial"/>
          <w:bCs/>
          <w:sz w:val="22"/>
          <w:szCs w:val="22"/>
        </w:rPr>
        <w:t xml:space="preserve">tworzenia </w:t>
      </w:r>
      <w:r w:rsidR="00083F01">
        <w:rPr>
          <w:rFonts w:ascii="Arial" w:hAnsi="Arial" w:cs="Arial"/>
          <w:bCs/>
          <w:sz w:val="22"/>
          <w:szCs w:val="22"/>
        </w:rPr>
        <w:t>i</w:t>
      </w:r>
      <w:r w:rsidR="00083F01" w:rsidRPr="000204EF">
        <w:rPr>
          <w:rFonts w:ascii="Arial" w:hAnsi="Arial" w:cs="Arial"/>
          <w:sz w:val="22"/>
          <w:szCs w:val="22"/>
        </w:rPr>
        <w:t xml:space="preserve"> utrzymywania zapasów </w:t>
      </w:r>
      <w:r w:rsidR="00083F01" w:rsidRPr="000204EF">
        <w:rPr>
          <w:rFonts w:ascii="Arial" w:hAnsi="Arial" w:cs="Arial"/>
          <w:sz w:val="22"/>
          <w:szCs w:val="22"/>
        </w:rPr>
        <w:lastRenderedPageBreak/>
        <w:t>obowiązkowych ropy naftowej lub paliw oraz uiszczania opłaty zapasowej</w:t>
      </w:r>
      <w:r w:rsidR="00083F01" w:rsidRPr="000204EF">
        <w:rPr>
          <w:rFonts w:cs="Arial"/>
        </w:rPr>
        <w:t xml:space="preserve"> </w:t>
      </w:r>
      <w:r w:rsidR="00CD15B9">
        <w:rPr>
          <w:rFonts w:cs="Arial"/>
        </w:rPr>
        <w:t xml:space="preserve">z </w:t>
      </w:r>
      <w:r w:rsidR="00083F01" w:rsidRPr="000204EF">
        <w:rPr>
          <w:rFonts w:ascii="Arial" w:hAnsi="Arial" w:cs="Arial"/>
          <w:sz w:val="22"/>
          <w:szCs w:val="22"/>
        </w:rPr>
        <w:t>tytułu przywozu wskazanego we wniosku produktu o kodzie  CN 2710 19 29</w:t>
      </w:r>
      <w:r w:rsidR="00083F01">
        <w:rPr>
          <w:rFonts w:ascii="Arial" w:hAnsi="Arial" w:cs="Arial"/>
          <w:sz w:val="22"/>
          <w:szCs w:val="22"/>
        </w:rPr>
        <w:t>.</w:t>
      </w:r>
      <w:r w:rsidR="00083F01" w:rsidRPr="000204EF">
        <w:rPr>
          <w:rFonts w:ascii="Arial" w:hAnsi="Arial" w:cs="Arial"/>
          <w:sz w:val="22"/>
          <w:szCs w:val="22"/>
        </w:rPr>
        <w:t xml:space="preserve">  </w:t>
      </w:r>
    </w:p>
    <w:p w14:paraId="02986DDD" w14:textId="21696305" w:rsidR="00083F01" w:rsidRPr="00C52768" w:rsidRDefault="00083F01" w:rsidP="008F055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Wnioskodawca do wniosku dołączył </w:t>
      </w:r>
      <w:r w:rsidR="00062B72">
        <w:rPr>
          <w:rFonts w:ascii="Arial" w:hAnsi="Arial" w:cs="Arial"/>
          <w:sz w:val="22"/>
          <w:szCs w:val="22"/>
        </w:rPr>
        <w:t>kartę charakterystyki produktu C, a następnie informację o temperaturze wrzenia poszczególnych frakcji.</w:t>
      </w:r>
    </w:p>
    <w:p w14:paraId="60E8E072" w14:textId="60F754A5" w:rsidR="00C52768" w:rsidRDefault="00C52768" w:rsidP="006F7C3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B7738FA" w14:textId="59A63F76" w:rsidR="00C52768" w:rsidRPr="001D49FC" w:rsidRDefault="00062B72" w:rsidP="00E9017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62B72">
        <w:rPr>
          <w:rFonts w:ascii="Arial" w:hAnsi="Arial" w:cs="Arial"/>
          <w:b/>
          <w:sz w:val="22"/>
          <w:szCs w:val="22"/>
        </w:rPr>
        <w:t>W świetle obowiązującego stanu prawnego stanowisko Wnioskodawcy w</w:t>
      </w:r>
      <w:r w:rsidR="00E90176">
        <w:rPr>
          <w:rFonts w:ascii="Arial" w:hAnsi="Arial" w:cs="Arial"/>
          <w:b/>
          <w:sz w:val="22"/>
          <w:szCs w:val="22"/>
        </w:rPr>
        <w:t> </w:t>
      </w:r>
      <w:r w:rsidRPr="00062B72">
        <w:rPr>
          <w:rFonts w:ascii="Arial" w:hAnsi="Arial" w:cs="Arial"/>
          <w:b/>
          <w:sz w:val="22"/>
          <w:szCs w:val="22"/>
        </w:rPr>
        <w:t xml:space="preserve">sprawie oceny prawnej stanu faktycznego w zakresie przepisów ustawy o zapasach </w:t>
      </w:r>
      <w:r w:rsidR="00E90176">
        <w:rPr>
          <w:rFonts w:ascii="Arial" w:hAnsi="Arial" w:cs="Arial"/>
          <w:b/>
          <w:sz w:val="22"/>
          <w:szCs w:val="22"/>
        </w:rPr>
        <w:t>j</w:t>
      </w:r>
      <w:r w:rsidRPr="00062B72">
        <w:rPr>
          <w:rFonts w:ascii="Arial" w:hAnsi="Arial" w:cs="Arial"/>
          <w:b/>
          <w:sz w:val="22"/>
          <w:szCs w:val="22"/>
        </w:rPr>
        <w:t>est nieprawidłowe.</w:t>
      </w:r>
    </w:p>
    <w:p w14:paraId="79525D7D" w14:textId="30E9D97B" w:rsidR="006F7C31" w:rsidRDefault="006F7C31" w:rsidP="006F7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49FC">
        <w:rPr>
          <w:rFonts w:ascii="Arial" w:hAnsi="Arial" w:cs="Arial"/>
          <w:sz w:val="22"/>
          <w:szCs w:val="22"/>
        </w:rPr>
        <w:t xml:space="preserve">Zgodnie z art. 34 ust. 1 </w:t>
      </w:r>
      <w:r w:rsidR="0075317C">
        <w:rPr>
          <w:rFonts w:ascii="Arial" w:hAnsi="Arial" w:cs="Arial"/>
          <w:sz w:val="22"/>
          <w:szCs w:val="22"/>
        </w:rPr>
        <w:t>upp,</w:t>
      </w:r>
      <w:r w:rsidRPr="001D49FC">
        <w:rPr>
          <w:rFonts w:ascii="Arial" w:hAnsi="Arial" w:cs="Arial"/>
          <w:sz w:val="22"/>
          <w:szCs w:val="22"/>
        </w:rPr>
        <w:t xml:space="preserve"> Przedsiębiorca może złożyć do właściwego organu lub właściwej jednostki organizacyjnej wniosek o wydanie wyjaśnienia co do zakresu i sposobu stosowania przepisów, z których wynika obowiązek świadczenia przez przedsiębiorcę daniny publicznej lub składek na ubezpieczenia społeczne lub zdrowotne, w jego indywidualnej sprawie (interpretacja indywidualna). Zgodnie z ust. 5 przywołanego powyżej przepisu udzielenie interpretacji indywidualnej następuje w drodze decyzji, od której służy odwołanie. Interpretacja indywidualna zawiera wyczerpujący opis przedstawionego we wniosku zaistniałego stanu faktycznego lub zdarzenia przyszłego oraz wskazanie prawidłowego stanowiska wraz z</w:t>
      </w:r>
      <w:r w:rsidR="00FB3AF2">
        <w:rPr>
          <w:rFonts w:ascii="Arial" w:hAnsi="Arial" w:cs="Arial"/>
          <w:sz w:val="22"/>
          <w:szCs w:val="22"/>
        </w:rPr>
        <w:t> </w:t>
      </w:r>
      <w:r w:rsidRPr="001D49FC">
        <w:rPr>
          <w:rFonts w:ascii="Arial" w:hAnsi="Arial" w:cs="Arial"/>
          <w:sz w:val="22"/>
          <w:szCs w:val="22"/>
        </w:rPr>
        <w:t xml:space="preserve">uzasadnieniem prawnym oraz pouczeniem o prawie wniesienia środka zaskarżenia.  W myśl art. 34 ust. 16 upp do postępowań o wydanie interpretacji indywidualnej stosuje się przepisy Kodeksu postępowania administracyjnego, chyba że odrębne przepisy stanowią inaczej. </w:t>
      </w:r>
    </w:p>
    <w:p w14:paraId="381D55F4" w14:textId="77777777" w:rsidR="008B6649" w:rsidRPr="00C278F5" w:rsidRDefault="008B6649" w:rsidP="008B66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78F5">
        <w:rPr>
          <w:rFonts w:ascii="Arial" w:hAnsi="Arial" w:cs="Arial"/>
          <w:sz w:val="22"/>
          <w:szCs w:val="22"/>
        </w:rPr>
        <w:t>Zgodnie z art. 3 ust. 1 – 3 oraz ust. 4 ustawy o zapasach, w celu zapewnienia zaopatrzenia Rzeczyposp</w:t>
      </w:r>
      <w:r>
        <w:rPr>
          <w:rFonts w:ascii="Arial" w:hAnsi="Arial" w:cs="Arial"/>
          <w:sz w:val="22"/>
          <w:szCs w:val="22"/>
        </w:rPr>
        <w:t xml:space="preserve">olitej Polskiej w ropę naftową </w:t>
      </w:r>
      <w:r w:rsidRPr="00C278F5">
        <w:rPr>
          <w:rFonts w:ascii="Arial" w:hAnsi="Arial" w:cs="Arial"/>
          <w:sz w:val="22"/>
          <w:szCs w:val="22"/>
        </w:rPr>
        <w:t>i produkty naftowe w sytuacji wystąpienia zakłóceń w ich dostawach na rynek krajowy oraz wypełniania zobowiązań międzynarodowych, tworzy się zapasy ropy naftowej i produktów naftowych, zwane "zapasami interwencyjnymi". Zapasy interwencyjne obejmują zapasy:</w:t>
      </w:r>
    </w:p>
    <w:p w14:paraId="58773633" w14:textId="77777777" w:rsidR="008B6649" w:rsidRPr="00C278F5" w:rsidRDefault="008B6649" w:rsidP="008B66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78F5">
        <w:rPr>
          <w:rFonts w:ascii="Arial" w:hAnsi="Arial" w:cs="Arial"/>
          <w:sz w:val="22"/>
          <w:szCs w:val="22"/>
        </w:rPr>
        <w:t>1)   obowiązkowe ropy naftowej lub paliw, tworzone i utrzymywane przez producentów i handlowców;</w:t>
      </w:r>
    </w:p>
    <w:p w14:paraId="70672415" w14:textId="77777777" w:rsidR="008B6649" w:rsidRDefault="008B6649" w:rsidP="008B66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78F5">
        <w:rPr>
          <w:rFonts w:ascii="Arial" w:hAnsi="Arial" w:cs="Arial"/>
          <w:sz w:val="22"/>
          <w:szCs w:val="22"/>
        </w:rPr>
        <w:t xml:space="preserve">2)   agencyjne ropy naftowej i paliw, tworzone i utrzymywane przez </w:t>
      </w:r>
      <w:r>
        <w:rPr>
          <w:rFonts w:ascii="Arial" w:hAnsi="Arial" w:cs="Arial"/>
          <w:sz w:val="22"/>
          <w:szCs w:val="22"/>
        </w:rPr>
        <w:t xml:space="preserve">Rządową </w:t>
      </w:r>
      <w:r w:rsidRPr="00C278F5">
        <w:rPr>
          <w:rFonts w:ascii="Arial" w:hAnsi="Arial" w:cs="Arial"/>
          <w:sz w:val="22"/>
          <w:szCs w:val="22"/>
        </w:rPr>
        <w:t xml:space="preserve">Agencję Rezerw </w:t>
      </w:r>
      <w:r>
        <w:rPr>
          <w:rFonts w:ascii="Arial" w:hAnsi="Arial" w:cs="Arial"/>
          <w:sz w:val="22"/>
          <w:szCs w:val="22"/>
        </w:rPr>
        <w:t>Strategicznych</w:t>
      </w:r>
      <w:r w:rsidRPr="00C278F5">
        <w:rPr>
          <w:rFonts w:ascii="Arial" w:hAnsi="Arial" w:cs="Arial"/>
          <w:sz w:val="22"/>
          <w:szCs w:val="22"/>
        </w:rPr>
        <w:t>.</w:t>
      </w:r>
    </w:p>
    <w:p w14:paraId="3FE02680" w14:textId="77777777" w:rsidR="008B6649" w:rsidRDefault="008B6649" w:rsidP="008B6649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78F5">
        <w:rPr>
          <w:rFonts w:ascii="Arial" w:hAnsi="Arial" w:cs="Arial"/>
          <w:sz w:val="22"/>
          <w:szCs w:val="22"/>
        </w:rPr>
        <w:lastRenderedPageBreak/>
        <w:t>Zapasy interwencyjne zaspokajają z</w:t>
      </w:r>
      <w:r>
        <w:rPr>
          <w:rFonts w:ascii="Arial" w:hAnsi="Arial" w:cs="Arial"/>
          <w:sz w:val="22"/>
          <w:szCs w:val="22"/>
        </w:rPr>
        <w:t xml:space="preserve">apotrzebowanie na ropę naftową </w:t>
      </w:r>
      <w:r w:rsidRPr="00C278F5">
        <w:rPr>
          <w:rFonts w:ascii="Arial" w:hAnsi="Arial" w:cs="Arial"/>
          <w:sz w:val="22"/>
          <w:szCs w:val="22"/>
        </w:rPr>
        <w:t xml:space="preserve">i paliwa </w:t>
      </w:r>
      <w:r>
        <w:rPr>
          <w:rFonts w:ascii="Arial" w:hAnsi="Arial" w:cs="Arial"/>
          <w:sz w:val="22"/>
          <w:szCs w:val="22"/>
        </w:rPr>
        <w:br/>
      </w:r>
      <w:r w:rsidRPr="00C278F5">
        <w:rPr>
          <w:rFonts w:ascii="Arial" w:hAnsi="Arial" w:cs="Arial"/>
          <w:sz w:val="22"/>
          <w:szCs w:val="22"/>
        </w:rPr>
        <w:t>w ilości odpowiadającej co najmniej iloczynowi 90 dni i średniego  dziennego przywozu netto ekwiwalentu ropy naftowej w poprzednim roku kalendarzowym. Zapasy interwencyjne powiększa się o rezerwę na poczet zapasów niedostępnych z przyczyn technicznych oraz ubytków podczas przemieszczania zapasów interwencyjnych, rezerwa ta wynosi 10% tworzonych i utrzymywanych zapasów interwencyjnych.</w:t>
      </w:r>
    </w:p>
    <w:p w14:paraId="1531D37F" w14:textId="77777777" w:rsidR="008B6649" w:rsidRDefault="008B6649" w:rsidP="008B6649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78F5">
        <w:rPr>
          <w:rFonts w:ascii="Arial" w:hAnsi="Arial" w:cs="Arial"/>
          <w:sz w:val="22"/>
          <w:szCs w:val="22"/>
        </w:rPr>
        <w:t xml:space="preserve">Przepis art. 2 ust. 1 pkt 19 ustawy o zapasach konstytuuje definicję legalną handlowca, zgodnie z którą jest nim przedsiębiorca wykonujący samodzielnie </w:t>
      </w:r>
      <w:r>
        <w:rPr>
          <w:rFonts w:ascii="Arial" w:hAnsi="Arial" w:cs="Arial"/>
          <w:sz w:val="22"/>
          <w:szCs w:val="22"/>
        </w:rPr>
        <w:br/>
      </w:r>
      <w:r w:rsidRPr="00C278F5">
        <w:rPr>
          <w:rFonts w:ascii="Arial" w:hAnsi="Arial" w:cs="Arial"/>
          <w:sz w:val="22"/>
          <w:szCs w:val="22"/>
        </w:rPr>
        <w:t xml:space="preserve">lub za pośrednictwem innego podmiotu działalność gospodarczą w zakresie przywozu ropy naftowej lub paliw lub osoba fizyczna, osoba prawna, jednostka organizacyjna nieposiadająca osobowości prawnej, która nie prowadząc działalności gospodarczej </w:t>
      </w:r>
      <w:r>
        <w:rPr>
          <w:rFonts w:ascii="Arial" w:hAnsi="Arial" w:cs="Arial"/>
          <w:sz w:val="22"/>
          <w:szCs w:val="22"/>
        </w:rPr>
        <w:br/>
      </w:r>
      <w:r w:rsidRPr="00C278F5">
        <w:rPr>
          <w:rFonts w:ascii="Arial" w:hAnsi="Arial" w:cs="Arial"/>
          <w:sz w:val="22"/>
          <w:szCs w:val="22"/>
        </w:rPr>
        <w:t>w zakresie przywozu ropy naftowej lub paliw, samodzielnie lub za pośrednictwem innego podmiotu wykonuje działalność polegającą na przywozie ropy naftowej</w:t>
      </w:r>
      <w:r>
        <w:rPr>
          <w:rFonts w:ascii="Arial" w:hAnsi="Arial" w:cs="Arial"/>
          <w:sz w:val="22"/>
          <w:szCs w:val="22"/>
        </w:rPr>
        <w:t xml:space="preserve"> </w:t>
      </w:r>
      <w:r w:rsidRPr="00C278F5">
        <w:rPr>
          <w:rFonts w:ascii="Arial" w:hAnsi="Arial" w:cs="Arial"/>
          <w:sz w:val="22"/>
          <w:szCs w:val="22"/>
        </w:rPr>
        <w:t xml:space="preserve">lub paliw </w:t>
      </w:r>
      <w:r>
        <w:rPr>
          <w:rFonts w:ascii="Arial" w:hAnsi="Arial" w:cs="Arial"/>
          <w:sz w:val="22"/>
          <w:szCs w:val="22"/>
        </w:rPr>
        <w:br/>
      </w:r>
      <w:r w:rsidRPr="00C278F5">
        <w:rPr>
          <w:rFonts w:ascii="Arial" w:hAnsi="Arial" w:cs="Arial"/>
          <w:sz w:val="22"/>
          <w:szCs w:val="22"/>
        </w:rPr>
        <w:t>i zużywa je na potrzeby własn</w:t>
      </w:r>
      <w:r>
        <w:rPr>
          <w:rFonts w:ascii="Arial" w:hAnsi="Arial" w:cs="Arial"/>
          <w:sz w:val="22"/>
          <w:szCs w:val="22"/>
        </w:rPr>
        <w:t xml:space="preserve">e z wyłączeniem przywozu paliw </w:t>
      </w:r>
      <w:r w:rsidRPr="00C278F5">
        <w:rPr>
          <w:rFonts w:ascii="Arial" w:hAnsi="Arial" w:cs="Arial"/>
          <w:sz w:val="22"/>
          <w:szCs w:val="22"/>
        </w:rPr>
        <w:t xml:space="preserve">w standardowych zbiornikach, o których mowa </w:t>
      </w:r>
      <w:r>
        <w:rPr>
          <w:rFonts w:ascii="Arial" w:hAnsi="Arial" w:cs="Arial"/>
          <w:sz w:val="22"/>
          <w:szCs w:val="22"/>
        </w:rPr>
        <w:t xml:space="preserve">w art. 33 ust. 1 ustawy z dnia </w:t>
      </w:r>
      <w:r w:rsidRPr="00C278F5">
        <w:rPr>
          <w:rFonts w:ascii="Arial" w:hAnsi="Arial" w:cs="Arial"/>
          <w:sz w:val="22"/>
          <w:szCs w:val="22"/>
        </w:rPr>
        <w:t>6 grudnia 2008 r. o podatku akcy</w:t>
      </w:r>
      <w:r>
        <w:rPr>
          <w:rFonts w:ascii="Arial" w:hAnsi="Arial" w:cs="Arial"/>
          <w:sz w:val="22"/>
          <w:szCs w:val="22"/>
        </w:rPr>
        <w:t xml:space="preserve">zowym (Dz. U. 2018 poz. 1114), </w:t>
      </w:r>
      <w:r w:rsidRPr="00C278F5">
        <w:rPr>
          <w:rFonts w:ascii="Arial" w:hAnsi="Arial" w:cs="Arial"/>
          <w:sz w:val="22"/>
          <w:szCs w:val="22"/>
        </w:rPr>
        <w:t>lub rozporządza nimi poprzez jakąkolwiek czynność prawną lub faktyczną.</w:t>
      </w:r>
    </w:p>
    <w:p w14:paraId="338B5E31" w14:textId="6889D35D" w:rsidR="008B6649" w:rsidRDefault="008B6649" w:rsidP="008B6649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7777">
        <w:rPr>
          <w:rFonts w:ascii="Arial" w:hAnsi="Arial" w:cs="Arial"/>
          <w:sz w:val="22"/>
          <w:szCs w:val="22"/>
        </w:rPr>
        <w:t>Przywozem, zgodnie z art. 2 ust. 1 pkt 14 ustawy o zapasach, jest sprowadzenie na</w:t>
      </w:r>
      <w:r w:rsidR="00C56395">
        <w:rPr>
          <w:rFonts w:ascii="Arial" w:hAnsi="Arial" w:cs="Arial"/>
          <w:sz w:val="22"/>
          <w:szCs w:val="22"/>
        </w:rPr>
        <w:t> </w:t>
      </w:r>
      <w:r w:rsidRPr="00387777">
        <w:rPr>
          <w:rFonts w:ascii="Arial" w:hAnsi="Arial" w:cs="Arial"/>
          <w:sz w:val="22"/>
          <w:szCs w:val="22"/>
        </w:rPr>
        <w:t>terytorium Rzeczypospolitej Polskiej ropy naftowej, produktów naftowych lub gazu ziemnego w ramach nabycia wewnątrzwspólnotowego lub importu.</w:t>
      </w:r>
      <w:r>
        <w:rPr>
          <w:rFonts w:ascii="Arial" w:hAnsi="Arial" w:cs="Arial"/>
          <w:sz w:val="22"/>
          <w:szCs w:val="22"/>
        </w:rPr>
        <w:t xml:space="preserve"> Nabyciem wewnątrzwspólnotowym </w:t>
      </w:r>
      <w:r w:rsidRPr="00387777">
        <w:rPr>
          <w:rFonts w:ascii="Arial" w:hAnsi="Arial" w:cs="Arial"/>
          <w:sz w:val="22"/>
          <w:szCs w:val="22"/>
        </w:rPr>
        <w:t xml:space="preserve">w myśl przepisu art. 2 ust. 1 pkt 9 ustawy o zapasach </w:t>
      </w:r>
      <w:r>
        <w:rPr>
          <w:rFonts w:ascii="Arial" w:hAnsi="Arial" w:cs="Arial"/>
          <w:sz w:val="22"/>
          <w:szCs w:val="22"/>
        </w:rPr>
        <w:br/>
      </w:r>
      <w:r w:rsidRPr="00387777">
        <w:rPr>
          <w:rFonts w:ascii="Arial" w:hAnsi="Arial" w:cs="Arial"/>
          <w:sz w:val="22"/>
          <w:szCs w:val="22"/>
        </w:rPr>
        <w:t xml:space="preserve">jest przemieszczenie ropy naftowej, produktów naftowych lub gazu ziemnego </w:t>
      </w:r>
      <w:r>
        <w:rPr>
          <w:rFonts w:ascii="Arial" w:hAnsi="Arial" w:cs="Arial"/>
          <w:sz w:val="22"/>
          <w:szCs w:val="22"/>
        </w:rPr>
        <w:br/>
      </w:r>
      <w:r w:rsidRPr="00387777">
        <w:rPr>
          <w:rFonts w:ascii="Arial" w:hAnsi="Arial" w:cs="Arial"/>
          <w:sz w:val="22"/>
          <w:szCs w:val="22"/>
        </w:rPr>
        <w:t xml:space="preserve">z terytorium innego państwa członkowskiego Wspólnoty Europejskiej na terytorium Rzeczypospolitej Polskiej, w rozumieniu przepisów o podatku akcyzowym. Importem zaś, zgodnie z przepisem art. 2 ust. 1 pkt 12 ustawy o zapasach, jest import ropy naftowej, produktów naftowych lub gazu ziemnego w rozumieniu przepisów o podatku akcyzowym. </w:t>
      </w:r>
    </w:p>
    <w:p w14:paraId="47FAC067" w14:textId="051FC01A" w:rsidR="00217403" w:rsidRPr="00217403" w:rsidRDefault="00217403" w:rsidP="00217403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17403">
        <w:rPr>
          <w:rFonts w:ascii="Arial" w:hAnsi="Arial" w:cs="Arial"/>
          <w:sz w:val="22"/>
          <w:szCs w:val="22"/>
        </w:rPr>
        <w:t xml:space="preserve">Zgodnie z art. 2 ust. 1 pkt 3 ustawy o zapasach, paliwa to produkty naftowe określone w pkt 2 lit. f- m, w tym również zawierające dodatki bez względu na ich ilość. Z przepisu art. 2 ust. 1 pkt 2 lit. f-m tej ustawy wynika natomiast, iż paliwami są: gaz płynny (LPG), benzyny silnikowe, benzyny lotnicze, paliwa typu benzynowego do silników odrzutowych, paliwa typu </w:t>
      </w:r>
      <w:r w:rsidRPr="00217403">
        <w:rPr>
          <w:rFonts w:ascii="Arial" w:hAnsi="Arial" w:cs="Arial"/>
          <w:sz w:val="22"/>
          <w:szCs w:val="22"/>
        </w:rPr>
        <w:lastRenderedPageBreak/>
        <w:t xml:space="preserve">nafty do silników odrzutowych, inne rodzaje nafty, oleje napędowe, w tym lekkie oleje opałowe, ciężkie oleje opałowe - określone w załączniku A rozdział 3 rozporządzenia Parlamentu Europejskiego i Rady (WE) nr 1099/2008 z dnia 22 października 2008 r. w sprawie statystyki energii (Dz. Urz. UE L 304 z 14.11.2008, str. 1, z późn. zm.), zwanego dalej „rozporządzeniem w sprawie statystyki energii”. Definicja dla innych rodzajów nafty zawarta w rozporządzeniu </w:t>
      </w:r>
      <w:r w:rsidRPr="00217403">
        <w:rPr>
          <w:rFonts w:ascii="Arial" w:hAnsi="Arial" w:cs="Arial"/>
          <w:sz w:val="22"/>
          <w:szCs w:val="22"/>
        </w:rPr>
        <w:br/>
        <w:t xml:space="preserve">w sprawie statystyki energii wskazuje, że jest to rafinowany produkt destylacji ropy naftowej wykorzystywany w sektorach innych niż transport lotniczy. Temperatura destylowania mieści się w zakresie 150–300 °C. W związku z czym należy przyjąć, że dla spełnienia definicji wyrobu klasyfikowanego jako inne rodzaje nafty, wynikającej z rozporządzenia w sprawie statystyki energii kluczowy jest zakres temperatur destylacji. </w:t>
      </w:r>
    </w:p>
    <w:p w14:paraId="0A7E7413" w14:textId="2E1951A8" w:rsidR="00217403" w:rsidRDefault="00217403" w:rsidP="00217403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17403">
        <w:rPr>
          <w:rFonts w:ascii="Arial" w:hAnsi="Arial" w:cs="Arial"/>
          <w:sz w:val="22"/>
          <w:szCs w:val="22"/>
        </w:rPr>
        <w:t>Na  podstawie art. 3 ust. 5 ustawy o zapasach, dnia 7 sierpnia 2020 r. zostało wydane rozporządzenie Ministra Klimatu w sprawie szczegółowego wykazu surowców oraz produktów naftowych objętych systemem zapasów interwencyjnych oraz wykazu paliw stanowiących podstawę do wyliczenia opłaty zapasowej (Dz. U. z 2020 r. poz. 1373), zwane dalej „rozporządzeniem w sprawie szczegółowego wykazu surowców oraz produktów naftowych”. Produkty oznaczone kodem CN 2710 19 29, klasyfikowane jako inne rodzaje nafty zostały wskazane w § 3 rozporządzenia w sprawie szczegółowego wykazu surowców oraz produktów naftowych, jako produkty, które producenci i handlowcy uwzględniają obliczając wymaganą ilość zapasów obowiązkowych ropy naftowej lub paliw (tj. produkty naftowe od przywozu lub produkcji, których należy tworzyć i utrzymywać zapasy obowiązkowe ropy naftowej lub paliw), jak również wymienione w § 6 niniejszego rozporządzenia, jako produkty stanowiące podstawę do wyliczenia opłaty zapasowej (tj. produkty naftowe od przywozu lub produkcji, których należy uiszczać opłatę zapasową).</w:t>
      </w:r>
    </w:p>
    <w:p w14:paraId="040F4400" w14:textId="1F2C1923" w:rsidR="00FD3500" w:rsidRPr="00387777" w:rsidRDefault="00FD3500" w:rsidP="008B6649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W myśl art. 14 ust. 1 ustawy o zapasach, podmioty zamierzające podjąć działalność gospodarczą w zakresie produkcji paliw lub przywozu ropy naftowej lub paliw są obowiązane złożyć wniosek o wpis do rejestru w terminie nie później niż 14 dni przed planowanym podjęciem wykonywania tej działalności. W ustawie o zapasach obowiązek tworzenia i</w:t>
      </w:r>
      <w:r w:rsidR="00482A5C">
        <w:rPr>
          <w:rFonts w:ascii="Arial" w:hAnsi="Arial" w:cs="Arial"/>
          <w:sz w:val="22"/>
          <w:szCs w:val="22"/>
        </w:rPr>
        <w:t> </w:t>
      </w:r>
      <w:r w:rsidRPr="00FD3500">
        <w:rPr>
          <w:rFonts w:ascii="Arial" w:hAnsi="Arial" w:cs="Arial"/>
          <w:sz w:val="22"/>
          <w:szCs w:val="22"/>
        </w:rPr>
        <w:t xml:space="preserve">utrzymywania zapasów obowiązkowych ropy naftowej lub paliw </w:t>
      </w:r>
      <w:r w:rsidR="00217403">
        <w:rPr>
          <w:rFonts w:ascii="Arial" w:hAnsi="Arial" w:cs="Arial"/>
          <w:sz w:val="22"/>
          <w:szCs w:val="22"/>
        </w:rPr>
        <w:t xml:space="preserve">oraz uiszczania opłaty </w:t>
      </w:r>
      <w:r w:rsidR="00217403">
        <w:rPr>
          <w:rFonts w:ascii="Arial" w:hAnsi="Arial" w:cs="Arial"/>
          <w:sz w:val="22"/>
          <w:szCs w:val="22"/>
        </w:rPr>
        <w:lastRenderedPageBreak/>
        <w:t xml:space="preserve">zapasowej </w:t>
      </w:r>
      <w:r w:rsidRPr="00FD3500">
        <w:rPr>
          <w:rFonts w:ascii="Arial" w:hAnsi="Arial" w:cs="Arial"/>
          <w:sz w:val="22"/>
          <w:szCs w:val="22"/>
        </w:rPr>
        <w:t>konstytuuje się w oparciu o dokonanie czynności faktycznej polegającej na</w:t>
      </w:r>
      <w:r w:rsidR="00482A5C">
        <w:rPr>
          <w:rFonts w:ascii="Arial" w:hAnsi="Arial" w:cs="Arial"/>
          <w:sz w:val="22"/>
          <w:szCs w:val="22"/>
        </w:rPr>
        <w:t> </w:t>
      </w:r>
      <w:r w:rsidRPr="00FD3500">
        <w:rPr>
          <w:rFonts w:ascii="Arial" w:hAnsi="Arial" w:cs="Arial"/>
          <w:sz w:val="22"/>
          <w:szCs w:val="22"/>
        </w:rPr>
        <w:t>produkcji lub przywozie paliw na terytorium Rzeczypospolitej Polskiej.</w:t>
      </w:r>
    </w:p>
    <w:p w14:paraId="18B2B6DE" w14:textId="44AAB724" w:rsidR="002E4391" w:rsidRDefault="002E4391" w:rsidP="002E4391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t>Artykuł 5 ust. 3b pkt 3 ustawy o zapasach stanowi, że producenci i handlowcy tworzą zapasy obowiązkowe ropy naftowej lub paliw, z wyłączeniem gazu płynnego (LPG), obliczając ich ilość na dany rok kalendarzowy</w:t>
      </w:r>
      <w:r>
        <w:rPr>
          <w:rFonts w:ascii="Arial" w:hAnsi="Arial" w:cs="Arial"/>
          <w:sz w:val="22"/>
          <w:szCs w:val="22"/>
        </w:rPr>
        <w:t xml:space="preserve"> na podstawie produkcji paliw, </w:t>
      </w:r>
      <w:r>
        <w:rPr>
          <w:rFonts w:ascii="Arial" w:hAnsi="Arial" w:cs="Arial"/>
          <w:sz w:val="22"/>
          <w:szCs w:val="22"/>
        </w:rPr>
        <w:br/>
      </w:r>
      <w:r w:rsidRPr="00393DF4">
        <w:rPr>
          <w:rFonts w:ascii="Arial" w:hAnsi="Arial" w:cs="Arial"/>
          <w:sz w:val="22"/>
          <w:szCs w:val="22"/>
        </w:rPr>
        <w:t>z wyłączeniem gazu płynnego (LPG) lub przy</w:t>
      </w:r>
      <w:r>
        <w:rPr>
          <w:rFonts w:ascii="Arial" w:hAnsi="Arial" w:cs="Arial"/>
          <w:sz w:val="22"/>
          <w:szCs w:val="22"/>
        </w:rPr>
        <w:t xml:space="preserve">wozu ropy naftowej lub paliw,  </w:t>
      </w:r>
      <w:r>
        <w:rPr>
          <w:rFonts w:ascii="Arial" w:hAnsi="Arial" w:cs="Arial"/>
          <w:sz w:val="22"/>
          <w:szCs w:val="22"/>
        </w:rPr>
        <w:br/>
      </w:r>
      <w:r w:rsidRPr="00393DF4">
        <w:rPr>
          <w:rFonts w:ascii="Arial" w:hAnsi="Arial" w:cs="Arial"/>
          <w:sz w:val="22"/>
          <w:szCs w:val="22"/>
        </w:rPr>
        <w:t>z wyłączeniem gazu płynnego (LPG), na terytorium Rze</w:t>
      </w:r>
      <w:r>
        <w:rPr>
          <w:rFonts w:ascii="Arial" w:hAnsi="Arial" w:cs="Arial"/>
          <w:sz w:val="22"/>
          <w:szCs w:val="22"/>
        </w:rPr>
        <w:t xml:space="preserve">czypospolitej Polskiej </w:t>
      </w:r>
      <w:r>
        <w:rPr>
          <w:rFonts w:ascii="Arial" w:hAnsi="Arial" w:cs="Arial"/>
          <w:sz w:val="22"/>
          <w:szCs w:val="22"/>
        </w:rPr>
        <w:br/>
      </w:r>
      <w:r w:rsidRPr="00393DF4">
        <w:rPr>
          <w:rFonts w:ascii="Arial" w:hAnsi="Arial" w:cs="Arial"/>
          <w:sz w:val="22"/>
          <w:szCs w:val="22"/>
        </w:rPr>
        <w:t>w poprzednim roku kalendarzowym</w:t>
      </w:r>
      <w:r>
        <w:rPr>
          <w:rFonts w:ascii="Arial" w:hAnsi="Arial" w:cs="Arial"/>
          <w:sz w:val="22"/>
          <w:szCs w:val="22"/>
        </w:rPr>
        <w:t xml:space="preserve">, przy czym w przypadku paliw, </w:t>
      </w:r>
      <w:r w:rsidRPr="00393DF4">
        <w:rPr>
          <w:rFonts w:ascii="Arial" w:hAnsi="Arial" w:cs="Arial"/>
          <w:sz w:val="22"/>
          <w:szCs w:val="22"/>
        </w:rPr>
        <w:t>z wyłączeniem gazu płynnego (LPG) - minimalną wielkość zapasów obowiązkowych ropy naftowej lub paliw w</w:t>
      </w:r>
      <w:r w:rsidR="00C56395">
        <w:rPr>
          <w:rFonts w:ascii="Arial" w:hAnsi="Arial" w:cs="Arial"/>
          <w:sz w:val="22"/>
          <w:szCs w:val="22"/>
        </w:rPr>
        <w:t> </w:t>
      </w:r>
      <w:r w:rsidRPr="00393DF4">
        <w:rPr>
          <w:rFonts w:ascii="Arial" w:hAnsi="Arial" w:cs="Arial"/>
          <w:sz w:val="22"/>
          <w:szCs w:val="22"/>
        </w:rPr>
        <w:t>zakresie paliw, z wyłączeniem gazu płynnego (LPG), oblicza się według wzoru:</w:t>
      </w:r>
    </w:p>
    <w:p w14:paraId="1B1E342C" w14:textId="77777777" w:rsidR="002E4391" w:rsidRDefault="002E4391" w:rsidP="002E4391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6C40DC62" wp14:editId="0F537CF0">
            <wp:extent cx="1581150" cy="438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4476F" w14:textId="77777777" w:rsidR="002E4391" w:rsidRPr="00393DF4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t>gdzie poszczególne symbole oznaczają:</w:t>
      </w:r>
    </w:p>
    <w:p w14:paraId="34F56A28" w14:textId="77777777" w:rsidR="002E4391" w:rsidRPr="00393DF4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t>Z</w:t>
      </w:r>
      <w:r w:rsidRPr="00393DF4">
        <w:rPr>
          <w:rFonts w:ascii="Arial" w:hAnsi="Arial" w:cs="Arial"/>
          <w:sz w:val="22"/>
          <w:szCs w:val="22"/>
          <w:vertAlign w:val="subscript"/>
        </w:rPr>
        <w:t>OP</w:t>
      </w:r>
      <w:r w:rsidRPr="00393DF4">
        <w:rPr>
          <w:rFonts w:ascii="Arial" w:hAnsi="Arial" w:cs="Arial"/>
          <w:sz w:val="22"/>
          <w:szCs w:val="22"/>
        </w:rPr>
        <w:t xml:space="preserve"> - minimalną wielkość zapasów obowiązkowych ropy naftowej</w:t>
      </w:r>
      <w:r>
        <w:rPr>
          <w:rFonts w:ascii="Arial" w:hAnsi="Arial" w:cs="Arial"/>
          <w:sz w:val="22"/>
          <w:szCs w:val="22"/>
        </w:rPr>
        <w:t xml:space="preserve"> lub paliw </w:t>
      </w:r>
      <w:r w:rsidRPr="00393DF4">
        <w:rPr>
          <w:rFonts w:ascii="Arial" w:hAnsi="Arial" w:cs="Arial"/>
          <w:sz w:val="22"/>
          <w:szCs w:val="22"/>
        </w:rPr>
        <w:t xml:space="preserve">w zakresie paliw, z wyłączeniem gazu płynnego (LPG), wyrażoną w jednostkach objętościowych, </w:t>
      </w:r>
      <w:r>
        <w:rPr>
          <w:rFonts w:ascii="Arial" w:hAnsi="Arial" w:cs="Arial"/>
          <w:sz w:val="22"/>
          <w:szCs w:val="22"/>
        </w:rPr>
        <w:br/>
      </w:r>
      <w:r w:rsidRPr="00393DF4">
        <w:rPr>
          <w:rFonts w:ascii="Arial" w:hAnsi="Arial" w:cs="Arial"/>
          <w:sz w:val="22"/>
          <w:szCs w:val="22"/>
        </w:rPr>
        <w:t>w temperaturze referencyjnej 15°C (288°K),</w:t>
      </w:r>
    </w:p>
    <w:p w14:paraId="45F64BAF" w14:textId="3453A2B6" w:rsidR="002E4391" w:rsidRPr="00393DF4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t>P - wielkość produkcji i przywozu paliw oraz ilość paliw wprowadzonych na rynek krajowy z</w:t>
      </w:r>
      <w:r w:rsidR="00C379EE">
        <w:rPr>
          <w:rFonts w:ascii="Arial" w:hAnsi="Arial" w:cs="Arial"/>
          <w:sz w:val="22"/>
          <w:szCs w:val="22"/>
        </w:rPr>
        <w:t> </w:t>
      </w:r>
      <w:r w:rsidRPr="00393DF4">
        <w:rPr>
          <w:rFonts w:ascii="Arial" w:hAnsi="Arial" w:cs="Arial"/>
          <w:sz w:val="22"/>
          <w:szCs w:val="22"/>
        </w:rPr>
        <w:t>zapasów obowiązkowych w wyniku ich interwencyjnego uwolnienia,</w:t>
      </w:r>
      <w:r w:rsidRPr="00393DF4">
        <w:t xml:space="preserve"> </w:t>
      </w:r>
      <w:r w:rsidRPr="00393DF4">
        <w:rPr>
          <w:rFonts w:ascii="Arial" w:hAnsi="Arial" w:cs="Arial"/>
          <w:sz w:val="22"/>
          <w:szCs w:val="22"/>
        </w:rPr>
        <w:t>z wyłączeniem gazu płynnego (LPG), wyrażoną</w:t>
      </w:r>
      <w:r>
        <w:rPr>
          <w:rFonts w:ascii="Arial" w:hAnsi="Arial" w:cs="Arial"/>
          <w:sz w:val="22"/>
          <w:szCs w:val="22"/>
        </w:rPr>
        <w:t xml:space="preserve"> w jednostkach objętościowych, </w:t>
      </w:r>
      <w:r w:rsidRPr="00393DF4">
        <w:rPr>
          <w:rFonts w:ascii="Arial" w:hAnsi="Arial" w:cs="Arial"/>
          <w:sz w:val="22"/>
          <w:szCs w:val="22"/>
        </w:rPr>
        <w:t>w temperaturze referencyjnej 15°C (288°K) w poprzednim roku kalendarzowym,</w:t>
      </w:r>
    </w:p>
    <w:p w14:paraId="14C25989" w14:textId="1F3002DA" w:rsidR="002E4391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t>O - pomniejszenia odnoszące się do poprzedniego roku kalendarzowego, o których mowa w</w:t>
      </w:r>
      <w:r w:rsidR="00C379EE">
        <w:rPr>
          <w:rFonts w:ascii="Arial" w:hAnsi="Arial" w:cs="Arial"/>
          <w:sz w:val="22"/>
          <w:szCs w:val="22"/>
        </w:rPr>
        <w:t> </w:t>
      </w:r>
      <w:r w:rsidRPr="00393DF4">
        <w:rPr>
          <w:rFonts w:ascii="Arial" w:hAnsi="Arial" w:cs="Arial"/>
          <w:sz w:val="22"/>
          <w:szCs w:val="22"/>
        </w:rPr>
        <w:t>ust. 6, wyrażone w jednostkach objętościowych, w temperaturze referencyjnej 15°C (288°K),</w:t>
      </w:r>
    </w:p>
    <w:p w14:paraId="7EF191E4" w14:textId="77777777" w:rsidR="002E4391" w:rsidRPr="00393DF4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</w:t>
      </w:r>
      <w:r w:rsidRPr="00393DF4">
        <w:rPr>
          <w:rFonts w:ascii="Arial" w:hAnsi="Arial" w:cs="Arial"/>
          <w:sz w:val="22"/>
          <w:szCs w:val="22"/>
        </w:rPr>
        <w:t>- liczbę dni w poprzednim roku kalendarzowym,</w:t>
      </w:r>
    </w:p>
    <w:p w14:paraId="1476CFB7" w14:textId="2464FD47" w:rsidR="002E4391" w:rsidRPr="00393DF4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t>H - wielkość zapasów obowiązkowych ropy naftowej lub paliw, z wyłączeniem gazu płynnego (LPG), wyrażoną w liczbie dni średniej dziennej produkcji lub przywozu paliw, określonej w</w:t>
      </w:r>
      <w:r w:rsidR="00C379EE">
        <w:rPr>
          <w:rFonts w:ascii="Arial" w:hAnsi="Arial" w:cs="Arial"/>
          <w:sz w:val="22"/>
          <w:szCs w:val="22"/>
        </w:rPr>
        <w:t> </w:t>
      </w:r>
      <w:r w:rsidRPr="00393DF4">
        <w:rPr>
          <w:rFonts w:ascii="Arial" w:hAnsi="Arial" w:cs="Arial"/>
          <w:sz w:val="22"/>
          <w:szCs w:val="22"/>
        </w:rPr>
        <w:t>ust. 3 dla danego roku kalendarzowego,</w:t>
      </w:r>
    </w:p>
    <w:p w14:paraId="2D0B6AEF" w14:textId="77777777" w:rsidR="002E4391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DF4">
        <w:rPr>
          <w:rFonts w:ascii="Arial" w:hAnsi="Arial" w:cs="Arial"/>
          <w:sz w:val="22"/>
          <w:szCs w:val="22"/>
        </w:rPr>
        <w:lastRenderedPageBreak/>
        <w:t>W - współczynnik powiększenia zapasów obowiąz</w:t>
      </w:r>
      <w:r>
        <w:rPr>
          <w:rFonts w:ascii="Arial" w:hAnsi="Arial" w:cs="Arial"/>
          <w:sz w:val="22"/>
          <w:szCs w:val="22"/>
        </w:rPr>
        <w:t xml:space="preserve">kowych ropy naftowej lub paliw </w:t>
      </w:r>
      <w:r>
        <w:rPr>
          <w:rFonts w:ascii="Arial" w:hAnsi="Arial" w:cs="Arial"/>
          <w:sz w:val="22"/>
          <w:szCs w:val="22"/>
        </w:rPr>
        <w:br/>
      </w:r>
      <w:r w:rsidRPr="00393DF4">
        <w:rPr>
          <w:rFonts w:ascii="Arial" w:hAnsi="Arial" w:cs="Arial"/>
          <w:sz w:val="22"/>
          <w:szCs w:val="22"/>
        </w:rPr>
        <w:t>w zakresie paliw, z wyłączeniem gazu płynn</w:t>
      </w:r>
      <w:r>
        <w:rPr>
          <w:rFonts w:ascii="Arial" w:hAnsi="Arial" w:cs="Arial"/>
          <w:sz w:val="22"/>
          <w:szCs w:val="22"/>
        </w:rPr>
        <w:t xml:space="preserve">ego (LPG), o rezerwę określoną </w:t>
      </w:r>
      <w:r w:rsidRPr="00393DF4">
        <w:rPr>
          <w:rFonts w:ascii="Arial" w:hAnsi="Arial" w:cs="Arial"/>
          <w:sz w:val="22"/>
          <w:szCs w:val="22"/>
        </w:rPr>
        <w:t xml:space="preserve">w art. 3 </w:t>
      </w:r>
      <w:r>
        <w:rPr>
          <w:rFonts w:ascii="Arial" w:hAnsi="Arial" w:cs="Arial"/>
          <w:sz w:val="22"/>
          <w:szCs w:val="22"/>
        </w:rPr>
        <w:br/>
      </w:r>
      <w:r w:rsidRPr="00393DF4">
        <w:rPr>
          <w:rFonts w:ascii="Arial" w:hAnsi="Arial" w:cs="Arial"/>
          <w:sz w:val="22"/>
          <w:szCs w:val="22"/>
        </w:rPr>
        <w:t>ust. 4, wynoszący 1,1.</w:t>
      </w:r>
    </w:p>
    <w:p w14:paraId="2A12294B" w14:textId="0B872D0F" w:rsidR="002E4391" w:rsidRDefault="002E4391" w:rsidP="002E4391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3DF4">
        <w:rPr>
          <w:rFonts w:ascii="Arial" w:hAnsi="Arial" w:cs="Arial"/>
          <w:sz w:val="22"/>
          <w:szCs w:val="22"/>
        </w:rPr>
        <w:t>roducenci i handlowcy tworzą i utrzymują zapasy obowiązkowe ropy naftowej lub paliw, z wy</w:t>
      </w:r>
      <w:r>
        <w:rPr>
          <w:rFonts w:ascii="Arial" w:hAnsi="Arial" w:cs="Arial"/>
          <w:sz w:val="22"/>
          <w:szCs w:val="22"/>
        </w:rPr>
        <w:t xml:space="preserve">łączeniem gazu płynnego (LPG), </w:t>
      </w:r>
      <w:r w:rsidRPr="00393DF4">
        <w:rPr>
          <w:rFonts w:ascii="Arial" w:hAnsi="Arial" w:cs="Arial"/>
          <w:sz w:val="22"/>
          <w:szCs w:val="22"/>
        </w:rPr>
        <w:t>w wielkości odpowiadającej iloczynowi 53 dni i</w:t>
      </w:r>
      <w:r w:rsidR="00C379EE">
        <w:rPr>
          <w:rFonts w:ascii="Arial" w:hAnsi="Arial" w:cs="Arial"/>
          <w:sz w:val="22"/>
          <w:szCs w:val="22"/>
        </w:rPr>
        <w:t> </w:t>
      </w:r>
      <w:r w:rsidRPr="00393DF4">
        <w:rPr>
          <w:rFonts w:ascii="Arial" w:hAnsi="Arial" w:cs="Arial"/>
          <w:sz w:val="22"/>
          <w:szCs w:val="22"/>
        </w:rPr>
        <w:t>śre</w:t>
      </w:r>
      <w:r>
        <w:rPr>
          <w:rFonts w:ascii="Arial" w:hAnsi="Arial" w:cs="Arial"/>
          <w:sz w:val="22"/>
          <w:szCs w:val="22"/>
        </w:rPr>
        <w:t xml:space="preserve">dniej dziennej produkcji paliw </w:t>
      </w:r>
      <w:r w:rsidRPr="00393DF4">
        <w:rPr>
          <w:rFonts w:ascii="Arial" w:hAnsi="Arial" w:cs="Arial"/>
          <w:sz w:val="22"/>
          <w:szCs w:val="22"/>
        </w:rPr>
        <w:t>lub przywozu ropy naftowej lub paliw zrealizowanych przez producenta</w:t>
      </w:r>
      <w:r>
        <w:rPr>
          <w:rFonts w:ascii="Arial" w:hAnsi="Arial" w:cs="Arial"/>
          <w:sz w:val="22"/>
          <w:szCs w:val="22"/>
        </w:rPr>
        <w:t xml:space="preserve"> </w:t>
      </w:r>
      <w:r w:rsidRPr="00393DF4">
        <w:rPr>
          <w:rFonts w:ascii="Arial" w:hAnsi="Arial" w:cs="Arial"/>
          <w:sz w:val="22"/>
          <w:szCs w:val="22"/>
        </w:rPr>
        <w:t>lub handlowca w poprzednim roku kalendarzow</w:t>
      </w:r>
      <w:r>
        <w:rPr>
          <w:rFonts w:ascii="Arial" w:hAnsi="Arial" w:cs="Arial"/>
          <w:sz w:val="22"/>
          <w:szCs w:val="22"/>
        </w:rPr>
        <w:t xml:space="preserve">ym (art. 5 ust. 3 pkt 6 ustawy </w:t>
      </w:r>
      <w:r w:rsidRPr="00393DF4">
        <w:rPr>
          <w:rFonts w:ascii="Arial" w:hAnsi="Arial" w:cs="Arial"/>
          <w:sz w:val="22"/>
          <w:szCs w:val="22"/>
        </w:rPr>
        <w:t>o</w:t>
      </w:r>
      <w:r w:rsidR="00C379EE">
        <w:rPr>
          <w:rFonts w:ascii="Arial" w:hAnsi="Arial" w:cs="Arial"/>
          <w:sz w:val="22"/>
          <w:szCs w:val="22"/>
        </w:rPr>
        <w:t> </w:t>
      </w:r>
      <w:r w:rsidRPr="00393DF4">
        <w:rPr>
          <w:rFonts w:ascii="Arial" w:hAnsi="Arial" w:cs="Arial"/>
          <w:sz w:val="22"/>
          <w:szCs w:val="22"/>
        </w:rPr>
        <w:t>zapasach).</w:t>
      </w:r>
    </w:p>
    <w:p w14:paraId="5BD84003" w14:textId="6BCD5E57" w:rsidR="006D1835" w:rsidRDefault="006D1835" w:rsidP="006D1835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36B29">
        <w:rPr>
          <w:rFonts w:ascii="Arial" w:hAnsi="Arial" w:cs="Arial"/>
          <w:sz w:val="22"/>
          <w:szCs w:val="22"/>
        </w:rPr>
        <w:t>Stosownie do art. 21b ust. 14 ustawy o zapasach, organem właściwym w sprawie opłaty zapasowej jest Prezes Agencji, któremu przysługują uprawnienia organu podatkowego, określone w dziale III oraz dziale V ustawy z dnia 29 sierpnia 1997 r. – Ordynacja podatkowa. Przepis art. 21b ust. 1 ustawy o zapasach, stanowi, że koszty tworzenia i finansowania zapasów agencyjnych ponoszą producenci i handlowcy, uiszczając opłatę zapasową.</w:t>
      </w:r>
    </w:p>
    <w:p w14:paraId="15C6ED41" w14:textId="77777777" w:rsidR="002E4391" w:rsidRPr="00836B29" w:rsidRDefault="002E4391" w:rsidP="002E4391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36B29">
        <w:rPr>
          <w:rFonts w:ascii="Arial" w:hAnsi="Arial" w:cs="Arial"/>
          <w:sz w:val="22"/>
          <w:szCs w:val="22"/>
        </w:rPr>
        <w:t>W myśl art. 21b ust. 1 ustawy o zapasach, koszty tworzenia i finansowania zapasów agencyjnych ponoszą producenci i handlowcy, uiszczając opłatę zapasową.</w:t>
      </w:r>
    </w:p>
    <w:p w14:paraId="0B888346" w14:textId="77777777" w:rsidR="002E4391" w:rsidRDefault="002E4391" w:rsidP="002E4391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21b ust. 2</w:t>
      </w:r>
      <w:r w:rsidRPr="00836B29">
        <w:rPr>
          <w:rFonts w:ascii="Arial" w:hAnsi="Arial" w:cs="Arial"/>
          <w:sz w:val="22"/>
          <w:szCs w:val="22"/>
        </w:rPr>
        <w:t xml:space="preserve"> ustawy o zapasach, opłatę zapasową dla</w:t>
      </w:r>
      <w:r>
        <w:rPr>
          <w:rFonts w:ascii="Arial" w:hAnsi="Arial" w:cs="Arial"/>
          <w:sz w:val="22"/>
          <w:szCs w:val="22"/>
        </w:rPr>
        <w:t xml:space="preserve"> paliw </w:t>
      </w:r>
      <w:r>
        <w:rPr>
          <w:rFonts w:ascii="Arial" w:hAnsi="Arial" w:cs="Arial"/>
          <w:sz w:val="22"/>
          <w:szCs w:val="22"/>
        </w:rPr>
        <w:br/>
        <w:t>z wyłączeniem</w:t>
      </w:r>
      <w:r w:rsidRPr="00836B29">
        <w:rPr>
          <w:rFonts w:ascii="Arial" w:hAnsi="Arial" w:cs="Arial"/>
          <w:sz w:val="22"/>
          <w:szCs w:val="22"/>
        </w:rPr>
        <w:t xml:space="preserve"> gazu płynnego (LPG) oblicza się według wzoru:</w:t>
      </w:r>
    </w:p>
    <w:p w14:paraId="0F20D1CD" w14:textId="77777777" w:rsidR="002E4391" w:rsidRPr="00836B29" w:rsidRDefault="002E4391" w:rsidP="002E4391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36B29">
        <w:rPr>
          <w:rFonts w:ascii="Arial" w:hAnsi="Arial" w:cs="Arial"/>
          <w:sz w:val="22"/>
          <w:szCs w:val="22"/>
        </w:rPr>
        <w:t>O</w:t>
      </w:r>
      <w:r w:rsidRPr="00393DF4">
        <w:rPr>
          <w:rFonts w:ascii="Arial" w:hAnsi="Arial" w:cs="Arial"/>
          <w:sz w:val="22"/>
          <w:szCs w:val="22"/>
          <w:vertAlign w:val="subscript"/>
        </w:rPr>
        <w:t>z</w:t>
      </w:r>
      <w:r w:rsidRPr="00836B29">
        <w:rPr>
          <w:rFonts w:ascii="Arial" w:hAnsi="Arial" w:cs="Arial"/>
          <w:sz w:val="22"/>
          <w:szCs w:val="22"/>
        </w:rPr>
        <w:t xml:space="preserve"> = (</w:t>
      </w:r>
      <w:r>
        <w:rPr>
          <w:rFonts w:ascii="Arial" w:hAnsi="Arial" w:cs="Arial"/>
          <w:sz w:val="22"/>
          <w:szCs w:val="22"/>
        </w:rPr>
        <w:t>W</w:t>
      </w:r>
      <w:r w:rsidRPr="00836B29">
        <w:rPr>
          <w:rFonts w:ascii="Arial" w:hAnsi="Arial" w:cs="Arial"/>
          <w:sz w:val="22"/>
          <w:szCs w:val="22"/>
          <w:vertAlign w:val="subscript"/>
        </w:rPr>
        <w:t>h</w:t>
      </w:r>
      <w:r w:rsidRPr="00836B29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W</w:t>
      </w:r>
      <w:r w:rsidRPr="00836B29">
        <w:rPr>
          <w:rFonts w:ascii="Arial" w:hAnsi="Arial" w:cs="Arial"/>
          <w:sz w:val="22"/>
          <w:szCs w:val="22"/>
          <w:vertAlign w:val="subscript"/>
        </w:rPr>
        <w:t>pr</w:t>
      </w:r>
      <w:r w:rsidRPr="00836B29">
        <w:rPr>
          <w:rFonts w:ascii="Arial" w:hAnsi="Arial" w:cs="Arial"/>
          <w:sz w:val="22"/>
          <w:szCs w:val="22"/>
        </w:rPr>
        <w:t xml:space="preserve">) x </w:t>
      </w:r>
      <w:r>
        <w:rPr>
          <w:rFonts w:ascii="Arial" w:hAnsi="Arial" w:cs="Arial"/>
          <w:sz w:val="22"/>
          <w:szCs w:val="22"/>
        </w:rPr>
        <w:t>U</w:t>
      </w:r>
    </w:p>
    <w:p w14:paraId="791D4FE1" w14:textId="77777777" w:rsidR="002E4391" w:rsidRPr="00836B29" w:rsidRDefault="002E4391" w:rsidP="002E4391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36B29">
        <w:rPr>
          <w:rFonts w:ascii="Arial" w:hAnsi="Arial" w:cs="Arial"/>
          <w:sz w:val="22"/>
          <w:szCs w:val="22"/>
        </w:rPr>
        <w:t>gdzie poszczególne symbole oznaczają:</w:t>
      </w:r>
    </w:p>
    <w:p w14:paraId="748E6398" w14:textId="77777777" w:rsidR="002E4391" w:rsidRPr="00836B29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6B29">
        <w:rPr>
          <w:rFonts w:ascii="Arial" w:hAnsi="Arial" w:cs="Arial"/>
          <w:sz w:val="22"/>
          <w:szCs w:val="22"/>
        </w:rPr>
        <w:t>O</w:t>
      </w:r>
      <w:r w:rsidRPr="00393DF4">
        <w:rPr>
          <w:rFonts w:ascii="Arial" w:hAnsi="Arial" w:cs="Arial"/>
          <w:sz w:val="22"/>
          <w:szCs w:val="22"/>
          <w:vertAlign w:val="subscript"/>
        </w:rPr>
        <w:t>z</w:t>
      </w:r>
      <w:r w:rsidRPr="00836B29">
        <w:rPr>
          <w:rFonts w:ascii="Arial" w:hAnsi="Arial" w:cs="Arial"/>
          <w:sz w:val="22"/>
          <w:szCs w:val="22"/>
        </w:rPr>
        <w:t xml:space="preserve"> – opłatę zapasową dla </w:t>
      </w:r>
      <w:r>
        <w:rPr>
          <w:rFonts w:ascii="Arial" w:hAnsi="Arial" w:cs="Arial"/>
          <w:sz w:val="22"/>
          <w:szCs w:val="22"/>
        </w:rPr>
        <w:t xml:space="preserve">paliw z wyłączeniem </w:t>
      </w:r>
      <w:r w:rsidRPr="00836B29">
        <w:rPr>
          <w:rFonts w:ascii="Arial" w:hAnsi="Arial" w:cs="Arial"/>
          <w:sz w:val="22"/>
          <w:szCs w:val="22"/>
        </w:rPr>
        <w:t>gazu płynnego (LPG);</w:t>
      </w:r>
    </w:p>
    <w:p w14:paraId="158FBDF9" w14:textId="1BAA663D" w:rsidR="002E4391" w:rsidRPr="00836B29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36B29">
        <w:rPr>
          <w:rFonts w:ascii="Arial" w:hAnsi="Arial" w:cs="Arial"/>
          <w:sz w:val="22"/>
          <w:szCs w:val="22"/>
          <w:vertAlign w:val="subscript"/>
        </w:rPr>
        <w:t>h</w:t>
      </w:r>
      <w:r w:rsidRPr="00836B2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sumę </w:t>
      </w:r>
      <w:r w:rsidRPr="00836B29">
        <w:rPr>
          <w:rFonts w:ascii="Arial" w:hAnsi="Arial" w:cs="Arial"/>
          <w:sz w:val="22"/>
          <w:szCs w:val="22"/>
        </w:rPr>
        <w:t>wielkoś</w:t>
      </w:r>
      <w:r>
        <w:rPr>
          <w:rFonts w:ascii="Arial" w:hAnsi="Arial" w:cs="Arial"/>
          <w:sz w:val="22"/>
          <w:szCs w:val="22"/>
        </w:rPr>
        <w:t>ci</w:t>
      </w:r>
      <w:r w:rsidRPr="00836B29">
        <w:rPr>
          <w:rFonts w:ascii="Arial" w:hAnsi="Arial" w:cs="Arial"/>
          <w:sz w:val="22"/>
          <w:szCs w:val="22"/>
        </w:rPr>
        <w:t xml:space="preserve"> przywozu</w:t>
      </w:r>
      <w:r>
        <w:rPr>
          <w:rFonts w:ascii="Arial" w:hAnsi="Arial" w:cs="Arial"/>
          <w:sz w:val="22"/>
          <w:szCs w:val="22"/>
        </w:rPr>
        <w:t xml:space="preserve"> paliw z wyłączeniem</w:t>
      </w:r>
      <w:r w:rsidRPr="00836B29">
        <w:rPr>
          <w:rFonts w:ascii="Arial" w:hAnsi="Arial" w:cs="Arial"/>
          <w:sz w:val="22"/>
          <w:szCs w:val="22"/>
        </w:rPr>
        <w:t xml:space="preserve"> gazu płynnego (LPG) dokonanego w</w:t>
      </w:r>
      <w:r w:rsidR="008B4D11">
        <w:rPr>
          <w:rFonts w:ascii="Arial" w:hAnsi="Arial" w:cs="Arial"/>
          <w:sz w:val="22"/>
          <w:szCs w:val="22"/>
        </w:rPr>
        <w:t> </w:t>
      </w:r>
      <w:r w:rsidRPr="00836B29">
        <w:rPr>
          <w:rFonts w:ascii="Arial" w:hAnsi="Arial" w:cs="Arial"/>
          <w:sz w:val="22"/>
          <w:szCs w:val="22"/>
        </w:rPr>
        <w:t xml:space="preserve">danym miesiącu kalendarzowym, pomniejszoną o ilości wymienione w art. 5 ust. 6 </w:t>
      </w:r>
      <w:r>
        <w:rPr>
          <w:rFonts w:ascii="Arial" w:hAnsi="Arial" w:cs="Arial"/>
          <w:sz w:val="22"/>
          <w:szCs w:val="22"/>
        </w:rPr>
        <w:br/>
      </w:r>
      <w:r w:rsidRPr="00836B29">
        <w:rPr>
          <w:rFonts w:ascii="Arial" w:hAnsi="Arial" w:cs="Arial"/>
          <w:sz w:val="22"/>
          <w:szCs w:val="22"/>
        </w:rPr>
        <w:t>w danym miesiącu kalendarzowym, wyrażoną w jednostkach wagowych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z uwzględnieniem współczynników określonych w obwieszczeniu wydanym </w:t>
      </w:r>
      <w:r>
        <w:rPr>
          <w:rFonts w:ascii="Arial" w:hAnsi="Arial" w:cs="Arial"/>
          <w:sz w:val="22"/>
          <w:szCs w:val="22"/>
        </w:rPr>
        <w:br/>
        <w:t>na podstawie art. 4, przeliczoną na ekwiwalent ropy naftowej przez pomnożenie jej przez współczynnik 1,065</w:t>
      </w:r>
      <w:r w:rsidRPr="00836B29">
        <w:rPr>
          <w:rFonts w:ascii="Arial" w:hAnsi="Arial" w:cs="Arial"/>
          <w:sz w:val="22"/>
          <w:szCs w:val="22"/>
        </w:rPr>
        <w:t>;</w:t>
      </w:r>
    </w:p>
    <w:p w14:paraId="4677C7C2" w14:textId="77777777" w:rsidR="002E4391" w:rsidRPr="00836B29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8550F">
        <w:rPr>
          <w:rFonts w:ascii="Arial" w:hAnsi="Arial" w:cs="Arial"/>
          <w:sz w:val="22"/>
          <w:szCs w:val="22"/>
        </w:rPr>
        <w:lastRenderedPageBreak/>
        <w:t>W</w:t>
      </w:r>
      <w:r w:rsidRPr="00836B29">
        <w:rPr>
          <w:rFonts w:ascii="Arial" w:hAnsi="Arial" w:cs="Arial"/>
          <w:sz w:val="22"/>
          <w:szCs w:val="22"/>
          <w:vertAlign w:val="subscript"/>
        </w:rPr>
        <w:t>pr</w:t>
      </w:r>
      <w:r w:rsidRPr="00836B29">
        <w:rPr>
          <w:rFonts w:ascii="Arial" w:hAnsi="Arial" w:cs="Arial"/>
          <w:sz w:val="22"/>
          <w:szCs w:val="22"/>
        </w:rPr>
        <w:t xml:space="preserve"> – wielkość produkcji </w:t>
      </w:r>
      <w:r>
        <w:rPr>
          <w:rFonts w:ascii="Arial" w:hAnsi="Arial" w:cs="Arial"/>
          <w:sz w:val="22"/>
          <w:szCs w:val="22"/>
        </w:rPr>
        <w:t xml:space="preserve">paliw z wyłączeniem </w:t>
      </w:r>
      <w:r w:rsidRPr="00836B29">
        <w:rPr>
          <w:rFonts w:ascii="Arial" w:hAnsi="Arial" w:cs="Arial"/>
          <w:sz w:val="22"/>
          <w:szCs w:val="22"/>
        </w:rPr>
        <w:t>gazu płynnego (LPG) w danym miesiącu kalendarzowym</w:t>
      </w:r>
      <w:r>
        <w:rPr>
          <w:rFonts w:ascii="Arial" w:hAnsi="Arial" w:cs="Arial"/>
          <w:sz w:val="22"/>
          <w:szCs w:val="22"/>
        </w:rPr>
        <w:t>,</w:t>
      </w:r>
      <w:r w:rsidRPr="00836B29">
        <w:rPr>
          <w:rFonts w:ascii="Arial" w:hAnsi="Arial" w:cs="Arial"/>
          <w:sz w:val="22"/>
          <w:szCs w:val="22"/>
        </w:rPr>
        <w:t xml:space="preserve"> pomniejszoną o ilości wymienione w art. 5 ust. 6 w danym miesiącu kalendarzowym, wyrażoną w jednostkach wagowych</w:t>
      </w:r>
      <w:r>
        <w:rPr>
          <w:rFonts w:ascii="Arial" w:hAnsi="Arial" w:cs="Arial"/>
          <w:sz w:val="22"/>
          <w:szCs w:val="22"/>
        </w:rPr>
        <w:t xml:space="preserve">, </w:t>
      </w:r>
      <w:r w:rsidRPr="0038550F">
        <w:rPr>
          <w:rFonts w:ascii="Arial" w:hAnsi="Arial" w:cs="Arial"/>
          <w:sz w:val="22"/>
          <w:szCs w:val="22"/>
        </w:rPr>
        <w:t>z uwzględnieniem współczynników określonych w obwieszczeniu wydanym na podstawie art. 4, przeliczoną na ekwiwalent ropy naftowej przez pomnożenie jej przez współczynn</w:t>
      </w:r>
      <w:r>
        <w:rPr>
          <w:rFonts w:ascii="Arial" w:hAnsi="Arial" w:cs="Arial"/>
          <w:sz w:val="22"/>
          <w:szCs w:val="22"/>
        </w:rPr>
        <w:t>ik 1,065</w:t>
      </w:r>
      <w:r w:rsidRPr="00836B29">
        <w:rPr>
          <w:rFonts w:ascii="Arial" w:hAnsi="Arial" w:cs="Arial"/>
          <w:sz w:val="22"/>
          <w:szCs w:val="22"/>
        </w:rPr>
        <w:t>;</w:t>
      </w:r>
    </w:p>
    <w:p w14:paraId="7C373032" w14:textId="77777777" w:rsidR="002E4391" w:rsidRPr="00836B29" w:rsidRDefault="002E4391" w:rsidP="002E439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836B29">
        <w:rPr>
          <w:rFonts w:ascii="Arial" w:hAnsi="Arial" w:cs="Arial"/>
          <w:sz w:val="22"/>
          <w:szCs w:val="22"/>
        </w:rPr>
        <w:t xml:space="preserve"> – stawkę opłaty za tonę </w:t>
      </w:r>
      <w:r>
        <w:rPr>
          <w:rFonts w:ascii="Arial" w:hAnsi="Arial" w:cs="Arial"/>
          <w:sz w:val="22"/>
          <w:szCs w:val="22"/>
        </w:rPr>
        <w:t>ekwiwalentu ropy naftowej</w:t>
      </w:r>
      <w:r w:rsidRPr="00836B29">
        <w:rPr>
          <w:rFonts w:ascii="Arial" w:hAnsi="Arial" w:cs="Arial"/>
          <w:sz w:val="22"/>
          <w:szCs w:val="22"/>
        </w:rPr>
        <w:t xml:space="preserve"> określoną w przepisach wydanych </w:t>
      </w:r>
      <w:r>
        <w:rPr>
          <w:rFonts w:ascii="Arial" w:hAnsi="Arial" w:cs="Arial"/>
          <w:sz w:val="22"/>
          <w:szCs w:val="22"/>
        </w:rPr>
        <w:br/>
      </w:r>
      <w:r w:rsidRPr="00836B29">
        <w:rPr>
          <w:rFonts w:ascii="Arial" w:hAnsi="Arial" w:cs="Arial"/>
          <w:sz w:val="22"/>
          <w:szCs w:val="22"/>
        </w:rPr>
        <w:t>na podstawie ust. 9.</w:t>
      </w:r>
    </w:p>
    <w:p w14:paraId="6BB5CC7E" w14:textId="5FE8C866" w:rsidR="00F370F8" w:rsidRDefault="00F370F8" w:rsidP="00F370F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01F">
        <w:rPr>
          <w:rFonts w:ascii="Arial" w:hAnsi="Arial" w:cs="Arial"/>
          <w:sz w:val="22"/>
          <w:szCs w:val="22"/>
        </w:rPr>
        <w:t xml:space="preserve">Mając powyższe na uwadze, w pierwszej kolejności należy wskazać, </w:t>
      </w:r>
      <w:r>
        <w:rPr>
          <w:rFonts w:ascii="Arial" w:hAnsi="Arial" w:cs="Arial"/>
          <w:sz w:val="22"/>
          <w:szCs w:val="22"/>
        </w:rPr>
        <w:br/>
      </w:r>
      <w:r w:rsidRPr="0001501F">
        <w:rPr>
          <w:rFonts w:ascii="Arial" w:hAnsi="Arial" w:cs="Arial"/>
          <w:sz w:val="22"/>
          <w:szCs w:val="22"/>
        </w:rPr>
        <w:t>iż ustawodawca zdecydował o wprowadzeniu do ustawy o zapasach definicji ustawowych produktów naftowych oraz poszczególnych paliw, niezależnych od definicji przyjętych w tym zakresie w polskim prawie, w szczególności niez</w:t>
      </w:r>
      <w:r>
        <w:rPr>
          <w:rFonts w:ascii="Arial" w:hAnsi="Arial" w:cs="Arial"/>
          <w:sz w:val="22"/>
          <w:szCs w:val="22"/>
        </w:rPr>
        <w:t xml:space="preserve">ależnie od definicji zawartych </w:t>
      </w:r>
      <w:r w:rsidRPr="0001501F">
        <w:rPr>
          <w:rFonts w:ascii="Arial" w:hAnsi="Arial" w:cs="Arial"/>
          <w:sz w:val="22"/>
          <w:szCs w:val="22"/>
        </w:rPr>
        <w:t>w ustawie Prawo energetyczne oraz ustawie o systemie monitorowania i kontrolowania jakości paliw. Należy mieć na uwadze, iż definicje te zostały wprowadzone do ustawy o zapasach ustawą z</w:t>
      </w:r>
      <w:r>
        <w:rPr>
          <w:rFonts w:ascii="Arial" w:hAnsi="Arial" w:cs="Arial"/>
          <w:sz w:val="22"/>
          <w:szCs w:val="22"/>
        </w:rPr>
        <w:t> </w:t>
      </w:r>
      <w:r w:rsidRPr="0001501F">
        <w:rPr>
          <w:rFonts w:ascii="Arial" w:hAnsi="Arial" w:cs="Arial"/>
          <w:sz w:val="22"/>
          <w:szCs w:val="22"/>
        </w:rPr>
        <w:t>dnia 30 maja 2014 r. o zmianie ustawy o zapasach ropy naftowej, produktów naftowych i</w:t>
      </w:r>
      <w:r>
        <w:rPr>
          <w:rFonts w:ascii="Arial" w:hAnsi="Arial" w:cs="Arial"/>
          <w:sz w:val="22"/>
          <w:szCs w:val="22"/>
        </w:rPr>
        <w:t> </w:t>
      </w:r>
      <w:r w:rsidRPr="0001501F">
        <w:rPr>
          <w:rFonts w:ascii="Arial" w:hAnsi="Arial" w:cs="Arial"/>
          <w:sz w:val="22"/>
          <w:szCs w:val="22"/>
        </w:rPr>
        <w:t>gazu ziemnego oraz zasadach postępowania w sytuacjach zagrożenia bezpieczeństwa paliwowego i zakłóceń na rynku naftowym oraz niektórych innych ustaw (Dz. U. z 2014 r. poz. 900), której celem było wdrożenie do prawa polskiego dyrektywy Rady 2009/119/WE z dnia 14 września 2009 r. nakładającej na państwa członkowskie obowiązek utrzymywania minimalnych zapasów ropy naftowej lub produktów ropopochodnych (Dz. Urz. UE L 265 z</w:t>
      </w:r>
      <w:r w:rsidR="005C22F7">
        <w:rPr>
          <w:rFonts w:ascii="Arial" w:hAnsi="Arial" w:cs="Arial"/>
          <w:sz w:val="22"/>
          <w:szCs w:val="22"/>
        </w:rPr>
        <w:t> </w:t>
      </w:r>
      <w:r w:rsidRPr="0001501F">
        <w:rPr>
          <w:rFonts w:ascii="Arial" w:hAnsi="Arial" w:cs="Arial"/>
          <w:sz w:val="22"/>
          <w:szCs w:val="22"/>
        </w:rPr>
        <w:t>09.10.2009 r., str. 9). Z jej art. 3 ust. 1 wynika, że państwa członkowskie przyjmują odpowiednie przepisy w celu zapewnienia aby całkowite zapasy naftowe utrzymywane w</w:t>
      </w:r>
      <w:r w:rsidR="005C22F7">
        <w:rPr>
          <w:rFonts w:ascii="Arial" w:hAnsi="Arial" w:cs="Arial"/>
          <w:sz w:val="22"/>
          <w:szCs w:val="22"/>
        </w:rPr>
        <w:t> </w:t>
      </w:r>
      <w:r w:rsidRPr="0001501F">
        <w:rPr>
          <w:rFonts w:ascii="Arial" w:hAnsi="Arial" w:cs="Arial"/>
          <w:sz w:val="22"/>
          <w:szCs w:val="22"/>
        </w:rPr>
        <w:t xml:space="preserve">każdym momencie we Wspólnocie na ich użytek odpowiadały co najmniej: 90 dniom średniego dziennego przywozu netto lub 61 dniom średniego dziennego zużycia krajowego, w zależności od tego, która wartość jest wyższa. Zgodnie z art. 2 lit.i dyrektywy 2009/119/WE zapasy naftowe to zapasy produktów energii wymienionych w pkt 3.1 akapit pierwszy załącznika C do rozporządzenia (WE) nr 1099/2008. Z pkt 3.1 akapit pierwszy załącznika C do rozporządzenia 1099/2008 wynika natomiast, że chodzi o ropę naftową, NGL, półprodukty rafineryjne, inne węglowodory, gaz rafineryjny (poza ciekłym), etan, LPG, benzynę ciężką, benzynę silnikową, benzynę lotniczą, paliwo typu benzynowego do silników odrzutowych, </w:t>
      </w:r>
      <w:r w:rsidRPr="0001501F">
        <w:rPr>
          <w:rFonts w:ascii="Arial" w:hAnsi="Arial" w:cs="Arial"/>
          <w:sz w:val="22"/>
          <w:szCs w:val="22"/>
        </w:rPr>
        <w:lastRenderedPageBreak/>
        <w:t>paliwo typu nafty do silników odrzutowych, inne nafty, olej napędowy (destylowane oleje opałowe), olej napędowy transportowy, oleje opałowe do celów ogrzewania i innych, ciężki olej opałowy (o niskiej bądź wysokiej zawartości siarki), benzynę lakową i benzyny przemysłowe, smary, asfalt, parafiny oraz koks naftowy – do których stosuje się definicje zawarte w załączniku A rozdział 3 tego rozporządzenia. Dlatego też ustawodawca w zakresie definicji ustawowych poszczególnych produktów naftowych na gruncie ustawy o zapasach odsyła do załącznika A rozdział 3 rozporządzenia 1099/2008.</w:t>
      </w:r>
    </w:p>
    <w:p w14:paraId="1E9D6A49" w14:textId="1742476E" w:rsidR="007D5C08" w:rsidRPr="0001501F" w:rsidRDefault="007D5C08" w:rsidP="007D5C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01F">
        <w:rPr>
          <w:rFonts w:ascii="Arial" w:hAnsi="Arial" w:cs="Arial"/>
          <w:sz w:val="22"/>
          <w:szCs w:val="22"/>
        </w:rPr>
        <w:t>Jak już wskazano powyżej, w ustawie o zapasach obowiązek</w:t>
      </w:r>
      <w:r w:rsidR="00F12C26">
        <w:rPr>
          <w:rFonts w:ascii="Arial" w:hAnsi="Arial" w:cs="Arial"/>
          <w:sz w:val="22"/>
          <w:szCs w:val="22"/>
        </w:rPr>
        <w:t xml:space="preserve"> wypisu do rejestru, obowiązek</w:t>
      </w:r>
      <w:r w:rsidRPr="0001501F">
        <w:rPr>
          <w:rFonts w:ascii="Arial" w:hAnsi="Arial" w:cs="Arial"/>
          <w:sz w:val="22"/>
          <w:szCs w:val="22"/>
        </w:rPr>
        <w:t xml:space="preserve"> tworzenia i utrzymywania zapasów obowiązkowych</w:t>
      </w:r>
      <w:r w:rsidR="00F12C26">
        <w:rPr>
          <w:rFonts w:ascii="Arial" w:hAnsi="Arial" w:cs="Arial"/>
          <w:sz w:val="22"/>
          <w:szCs w:val="22"/>
        </w:rPr>
        <w:t xml:space="preserve"> oraz uiszczania opłaty zapasowej</w:t>
      </w:r>
      <w:r w:rsidRPr="0001501F">
        <w:rPr>
          <w:rFonts w:ascii="Arial" w:hAnsi="Arial" w:cs="Arial"/>
          <w:sz w:val="22"/>
          <w:szCs w:val="22"/>
        </w:rPr>
        <w:t xml:space="preserve"> konstytuuje się w oparciu o dokonanie czynności faktycznej polegającej na</w:t>
      </w:r>
      <w:r w:rsidR="00D234D3">
        <w:rPr>
          <w:rFonts w:ascii="Arial" w:hAnsi="Arial" w:cs="Arial"/>
          <w:sz w:val="22"/>
          <w:szCs w:val="22"/>
        </w:rPr>
        <w:t> </w:t>
      </w:r>
      <w:r w:rsidRPr="0001501F">
        <w:rPr>
          <w:rFonts w:ascii="Arial" w:hAnsi="Arial" w:cs="Arial"/>
          <w:sz w:val="22"/>
          <w:szCs w:val="22"/>
        </w:rPr>
        <w:t>sprowadzeniu paliw na terytorium Rzeczypospolitej Polskiej. Sprowadzenie to realizowane jest, zgodnie z definicją handlowca w ramach prowadzonej przez niego w tym zakresie działalności gospodarczej i określane definicją legalną „przywozu”, rozumianego jako import lub nabycie wewnątrzwspólnotowe w rozumieniu przepisów ustawy o podatku akcyzowym.</w:t>
      </w:r>
    </w:p>
    <w:p w14:paraId="1803446B" w14:textId="77777777" w:rsidR="007D5C08" w:rsidRPr="0001501F" w:rsidRDefault="007D5C08" w:rsidP="007D5C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01F">
        <w:rPr>
          <w:rFonts w:ascii="Arial" w:hAnsi="Arial" w:cs="Arial"/>
          <w:sz w:val="22"/>
          <w:szCs w:val="22"/>
        </w:rPr>
        <w:t xml:space="preserve">Należy przy tym wskazać, że dla uznania konkretnego produktu naftowego </w:t>
      </w:r>
      <w:r>
        <w:rPr>
          <w:rFonts w:ascii="Arial" w:hAnsi="Arial" w:cs="Arial"/>
          <w:sz w:val="22"/>
          <w:szCs w:val="22"/>
        </w:rPr>
        <w:br/>
      </w:r>
      <w:r w:rsidRPr="0001501F">
        <w:rPr>
          <w:rFonts w:ascii="Arial" w:hAnsi="Arial" w:cs="Arial"/>
          <w:sz w:val="22"/>
          <w:szCs w:val="22"/>
        </w:rPr>
        <w:t>za paliwo w rozumieniu przepisów ustawy o zapasach, w odniesieniu do tegoż produktu muszą zaistnieć równocześnie poniżej wymienione elementy:</w:t>
      </w:r>
    </w:p>
    <w:p w14:paraId="506484CD" w14:textId="2C483B1B" w:rsidR="007D5C08" w:rsidRPr="0001501F" w:rsidRDefault="007D5C08" w:rsidP="007D5C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01F">
        <w:rPr>
          <w:rFonts w:ascii="Arial" w:hAnsi="Arial" w:cs="Arial"/>
          <w:sz w:val="22"/>
          <w:szCs w:val="22"/>
        </w:rPr>
        <w:t>1)</w:t>
      </w:r>
      <w:r w:rsidRPr="0001501F">
        <w:rPr>
          <w:rFonts w:ascii="Arial" w:hAnsi="Arial" w:cs="Arial"/>
          <w:sz w:val="22"/>
          <w:szCs w:val="22"/>
        </w:rPr>
        <w:tab/>
        <w:t>spełnienie definicji  określonej w załączniku A rozdział 3 rozporządzenia w</w:t>
      </w:r>
      <w:r>
        <w:rPr>
          <w:rFonts w:ascii="Arial" w:hAnsi="Arial" w:cs="Arial"/>
          <w:sz w:val="22"/>
          <w:szCs w:val="22"/>
        </w:rPr>
        <w:t> </w:t>
      </w:r>
      <w:r w:rsidRPr="0001501F">
        <w:rPr>
          <w:rFonts w:ascii="Arial" w:hAnsi="Arial" w:cs="Arial"/>
          <w:sz w:val="22"/>
          <w:szCs w:val="22"/>
        </w:rPr>
        <w:t xml:space="preserve">sprawie statystyki energii. </w:t>
      </w:r>
    </w:p>
    <w:p w14:paraId="3B4794B3" w14:textId="77777777" w:rsidR="007D5C08" w:rsidRPr="0001501F" w:rsidRDefault="007D5C08" w:rsidP="007D5C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01F">
        <w:rPr>
          <w:rFonts w:ascii="Arial" w:hAnsi="Arial" w:cs="Arial"/>
          <w:sz w:val="22"/>
          <w:szCs w:val="22"/>
        </w:rPr>
        <w:t>2)</w:t>
      </w:r>
      <w:r w:rsidRPr="0001501F">
        <w:rPr>
          <w:rFonts w:ascii="Arial" w:hAnsi="Arial" w:cs="Arial"/>
          <w:sz w:val="22"/>
          <w:szCs w:val="22"/>
        </w:rPr>
        <w:tab/>
        <w:t xml:space="preserve">spełnienie definicji paliw wskazanej w art. 2 ust. 1 pkt 3  ustawy </w:t>
      </w:r>
      <w:r>
        <w:rPr>
          <w:rFonts w:ascii="Arial" w:hAnsi="Arial" w:cs="Arial"/>
          <w:sz w:val="22"/>
          <w:szCs w:val="22"/>
        </w:rPr>
        <w:br/>
      </w:r>
      <w:r w:rsidRPr="0001501F">
        <w:rPr>
          <w:rFonts w:ascii="Arial" w:hAnsi="Arial" w:cs="Arial"/>
          <w:sz w:val="22"/>
          <w:szCs w:val="22"/>
        </w:rPr>
        <w:t>o zapasach.</w:t>
      </w:r>
    </w:p>
    <w:p w14:paraId="442063E7" w14:textId="77777777" w:rsidR="007D5C08" w:rsidRPr="0001501F" w:rsidRDefault="007D5C08" w:rsidP="007D5C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01F">
        <w:rPr>
          <w:rFonts w:ascii="Arial" w:hAnsi="Arial" w:cs="Arial"/>
          <w:sz w:val="22"/>
          <w:szCs w:val="22"/>
        </w:rPr>
        <w:t>3)</w:t>
      </w:r>
      <w:r w:rsidRPr="0001501F">
        <w:rPr>
          <w:rFonts w:ascii="Arial" w:hAnsi="Arial" w:cs="Arial"/>
          <w:sz w:val="22"/>
          <w:szCs w:val="22"/>
        </w:rPr>
        <w:tab/>
        <w:t xml:space="preserve">wskazanie kodu CN produktu naftowego w § 3 lub § 6 rozporządzenia </w:t>
      </w:r>
      <w:r>
        <w:rPr>
          <w:rFonts w:ascii="Arial" w:hAnsi="Arial" w:cs="Arial"/>
          <w:sz w:val="22"/>
          <w:szCs w:val="22"/>
        </w:rPr>
        <w:br/>
      </w:r>
      <w:r w:rsidRPr="0001501F">
        <w:rPr>
          <w:rFonts w:ascii="Arial" w:hAnsi="Arial" w:cs="Arial"/>
          <w:sz w:val="22"/>
          <w:szCs w:val="22"/>
        </w:rPr>
        <w:t>w sprawie szczegółowego wykazu surowców oraz produktów naftowych.</w:t>
      </w:r>
    </w:p>
    <w:p w14:paraId="63DEA202" w14:textId="4853DF50" w:rsidR="003D5A19" w:rsidRPr="00393C92" w:rsidRDefault="003D5A19" w:rsidP="00BA07E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C92">
        <w:rPr>
          <w:rFonts w:ascii="Arial" w:hAnsi="Arial" w:cs="Arial"/>
          <w:color w:val="000000" w:themeColor="text1"/>
          <w:sz w:val="22"/>
          <w:szCs w:val="22"/>
        </w:rPr>
        <w:t>Wnioskodawca we wniosku o wydanie pisemnej interpretacji co do zakresu i</w:t>
      </w:r>
      <w:r w:rsidR="00393C92" w:rsidRPr="00393C9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 xml:space="preserve">sposobu zastosowania przepisów prawa, wskazał następujące parametry fizykochemiczne sprowadzanego przez niego produktu: </w:t>
      </w:r>
    </w:p>
    <w:p w14:paraId="6EFA1B63" w14:textId="3A740C72" w:rsidR="003D5A19" w:rsidRPr="00393C92" w:rsidRDefault="00BA07E5" w:rsidP="003D5A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C92">
        <w:rPr>
          <w:rFonts w:ascii="Arial" w:hAnsi="Arial" w:cs="Arial"/>
          <w:color w:val="000000" w:themeColor="text1"/>
          <w:sz w:val="22"/>
          <w:szCs w:val="22"/>
        </w:rPr>
        <w:t>t</w:t>
      </w:r>
      <w:r w:rsidR="003D5A19" w:rsidRPr="00393C92">
        <w:rPr>
          <w:rFonts w:ascii="Arial" w:hAnsi="Arial" w:cs="Arial"/>
          <w:color w:val="000000" w:themeColor="text1"/>
          <w:sz w:val="22"/>
          <w:szCs w:val="22"/>
        </w:rPr>
        <w:t>emperatura zapłonu: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 xml:space="preserve"> ca 74</w:t>
      </w:r>
      <w:r w:rsidR="003D5A19" w:rsidRPr="003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>°C</w:t>
      </w:r>
      <w:r w:rsidR="003D5A19" w:rsidRPr="00393C92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BF99E0D" w14:textId="41F7F740" w:rsidR="003D5A19" w:rsidRPr="00393C92" w:rsidRDefault="00BA07E5" w:rsidP="003D5A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C92">
        <w:rPr>
          <w:rFonts w:ascii="Arial" w:hAnsi="Arial" w:cs="Arial"/>
          <w:color w:val="000000" w:themeColor="text1"/>
          <w:sz w:val="22"/>
          <w:szCs w:val="22"/>
        </w:rPr>
        <w:t>t</w:t>
      </w:r>
      <w:r w:rsidR="003D5A19" w:rsidRPr="00393C92">
        <w:rPr>
          <w:rFonts w:ascii="Arial" w:hAnsi="Arial" w:cs="Arial"/>
          <w:color w:val="000000" w:themeColor="text1"/>
          <w:sz w:val="22"/>
          <w:szCs w:val="22"/>
        </w:rPr>
        <w:t xml:space="preserve">emperatura 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>zapalania</w:t>
      </w:r>
      <w:r w:rsidR="003D5A19" w:rsidRPr="00393C9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93C92" w:rsidRPr="00393C92">
        <w:rPr>
          <w:rFonts w:ascii="Arial" w:hAnsi="Arial" w:cs="Arial"/>
          <w:color w:val="000000" w:themeColor="text1"/>
          <w:sz w:val="22"/>
          <w:szCs w:val="22"/>
        </w:rPr>
        <w:t>&gt; 195</w:t>
      </w:r>
      <w:r w:rsidR="003D5A19" w:rsidRPr="00393C92">
        <w:rPr>
          <w:rFonts w:ascii="Arial" w:hAnsi="Arial" w:cs="Arial"/>
          <w:color w:val="000000" w:themeColor="text1"/>
          <w:sz w:val="22"/>
          <w:szCs w:val="22"/>
        </w:rPr>
        <w:t xml:space="preserve"> °C,</w:t>
      </w:r>
    </w:p>
    <w:p w14:paraId="02312095" w14:textId="15D20E5E" w:rsidR="003D5A19" w:rsidRPr="00393C92" w:rsidRDefault="003D5A19" w:rsidP="003D5A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C92">
        <w:rPr>
          <w:rFonts w:ascii="Arial" w:hAnsi="Arial" w:cs="Arial"/>
          <w:color w:val="000000" w:themeColor="text1"/>
          <w:sz w:val="22"/>
          <w:szCs w:val="22"/>
        </w:rPr>
        <w:t>Gęstość: 0,7</w:t>
      </w:r>
      <w:r w:rsidR="00393C92" w:rsidRPr="00393C92">
        <w:rPr>
          <w:rFonts w:ascii="Arial" w:hAnsi="Arial" w:cs="Arial"/>
          <w:color w:val="000000" w:themeColor="text1"/>
          <w:sz w:val="22"/>
          <w:szCs w:val="22"/>
        </w:rPr>
        <w:t>5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 xml:space="preserve"> g/</w:t>
      </w:r>
      <w:r w:rsidR="00393C92" w:rsidRPr="00393C92">
        <w:rPr>
          <w:rFonts w:ascii="Arial" w:hAnsi="Arial" w:cs="Arial"/>
          <w:color w:val="000000" w:themeColor="text1"/>
          <w:sz w:val="22"/>
          <w:szCs w:val="22"/>
        </w:rPr>
        <w:t>cm³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3C92" w:rsidRPr="00393C92">
        <w:rPr>
          <w:rFonts w:ascii="Arial" w:hAnsi="Arial" w:cs="Arial"/>
          <w:color w:val="000000" w:themeColor="text1"/>
          <w:sz w:val="22"/>
          <w:szCs w:val="22"/>
        </w:rPr>
        <w:t>(</w:t>
      </w:r>
      <w:r w:rsidRPr="00393C92">
        <w:rPr>
          <w:rFonts w:ascii="Arial" w:hAnsi="Arial" w:cs="Arial"/>
          <w:color w:val="000000" w:themeColor="text1"/>
          <w:sz w:val="22"/>
          <w:szCs w:val="22"/>
        </w:rPr>
        <w:t>20 °C</w:t>
      </w:r>
      <w:r w:rsidR="00393C92" w:rsidRPr="00393C92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8364A2F" w14:textId="7C7F3684" w:rsidR="003D5A19" w:rsidRPr="00FB4248" w:rsidRDefault="003D5A19" w:rsidP="00BA07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4248">
        <w:rPr>
          <w:rFonts w:ascii="Arial" w:hAnsi="Arial" w:cs="Arial"/>
          <w:color w:val="000000" w:themeColor="text1"/>
          <w:sz w:val="22"/>
          <w:szCs w:val="22"/>
        </w:rPr>
        <w:t xml:space="preserve">Lepkość kinematyczna: </w:t>
      </w:r>
      <w:r w:rsidR="00393C92" w:rsidRPr="00FB4248">
        <w:rPr>
          <w:rFonts w:ascii="Arial" w:hAnsi="Arial" w:cs="Arial"/>
          <w:color w:val="000000" w:themeColor="text1"/>
          <w:sz w:val="22"/>
          <w:szCs w:val="22"/>
        </w:rPr>
        <w:t>nie określono.</w:t>
      </w:r>
    </w:p>
    <w:p w14:paraId="4F4C8CD3" w14:textId="77777777" w:rsidR="00FB4248" w:rsidRDefault="00FB4248" w:rsidP="003D5A1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99C6AE" w14:textId="5416138F" w:rsidR="003C2013" w:rsidRPr="003C2013" w:rsidRDefault="003C2013" w:rsidP="003D5A1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Ponadto Wnioskodawca przedstawił informację o temperaturze wrzenia poszczególnych </w:t>
      </w:r>
      <w:r w:rsidR="00F12C26">
        <w:rPr>
          <w:rFonts w:ascii="Arial" w:hAnsi="Arial" w:cs="Arial"/>
          <w:color w:val="000000" w:themeColor="text1"/>
          <w:sz w:val="22"/>
          <w:szCs w:val="22"/>
        </w:rPr>
        <w:t xml:space="preserve">węglowodorów wchodzący w skład </w:t>
      </w:r>
      <w:r>
        <w:rPr>
          <w:rFonts w:ascii="Arial" w:hAnsi="Arial" w:cs="Arial"/>
          <w:color w:val="000000" w:themeColor="text1"/>
          <w:sz w:val="22"/>
          <w:szCs w:val="22"/>
        </w:rPr>
        <w:t>C:</w:t>
      </w:r>
    </w:p>
    <w:p w14:paraId="1C7F1600" w14:textId="18F09FBA" w:rsidR="003D5A19" w:rsidRDefault="003D5A19" w:rsidP="003D5A19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9189" w:type="dxa"/>
        <w:tblInd w:w="223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1343"/>
        <w:gridCol w:w="1920"/>
        <w:gridCol w:w="1780"/>
        <w:gridCol w:w="1595"/>
        <w:gridCol w:w="2016"/>
      </w:tblGrid>
      <w:tr w:rsidR="000758C7" w14:paraId="1B43109B" w14:textId="77777777" w:rsidTr="00A13E9C">
        <w:trPr>
          <w:trHeight w:val="4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07EBA" w14:textId="77777777" w:rsidR="000758C7" w:rsidRPr="00F07850" w:rsidRDefault="000758C7" w:rsidP="00F07850">
            <w:pPr>
              <w:ind w:left="1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A864E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4F24EB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Składnik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82941" w14:textId="77777777" w:rsidR="000758C7" w:rsidRPr="00F07850" w:rsidRDefault="000758C7" w:rsidP="00F07850">
            <w:pPr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Nr CAS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3934E" w14:textId="77777777" w:rsidR="000758C7" w:rsidRPr="00F07850" w:rsidRDefault="000758C7" w:rsidP="00F07850">
            <w:pPr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% wag. ok.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6F85E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temp. wrzenia [</w:t>
            </w:r>
            <w:r w:rsidRPr="00F0785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F07850">
              <w:rPr>
                <w:rFonts w:ascii="Arial" w:hAnsi="Arial" w:cs="Arial"/>
                <w:sz w:val="22"/>
                <w:szCs w:val="22"/>
              </w:rPr>
              <w:t>c]</w:t>
            </w:r>
          </w:p>
        </w:tc>
      </w:tr>
      <w:tr w:rsidR="000758C7" w14:paraId="01719652" w14:textId="77777777" w:rsidTr="00A13E9C">
        <w:trPr>
          <w:trHeight w:val="45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0D7B5" w14:textId="77777777" w:rsidR="000758C7" w:rsidRPr="00F07850" w:rsidRDefault="000758C7" w:rsidP="00F07850">
            <w:pPr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1 .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02CF2" w14:textId="77777777" w:rsidR="000758C7" w:rsidRPr="00F07850" w:rsidRDefault="000758C7" w:rsidP="00F07850">
            <w:pPr>
              <w:ind w:left="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Nonan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8912DD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5EB0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111-84-2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E3479" w14:textId="77777777" w:rsidR="000758C7" w:rsidRPr="00F07850" w:rsidRDefault="000758C7" w:rsidP="00F07850">
            <w:pPr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FB1B7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151</w:t>
            </w:r>
          </w:p>
        </w:tc>
      </w:tr>
      <w:tr w:rsidR="000758C7" w14:paraId="0D8CFC41" w14:textId="77777777" w:rsidTr="00A13E9C">
        <w:trPr>
          <w:trHeight w:val="50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07D49" w14:textId="77777777" w:rsidR="000758C7" w:rsidRPr="00F07850" w:rsidRDefault="000758C7" w:rsidP="00F07850">
            <w:pPr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F34DE3" w14:textId="77777777" w:rsidR="000758C7" w:rsidRPr="00F07850" w:rsidRDefault="000758C7" w:rsidP="00F07850">
            <w:pPr>
              <w:ind w:left="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Dekan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FFBFED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2C55B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124-18-5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A213B" w14:textId="77777777" w:rsidR="000758C7" w:rsidRPr="00F07850" w:rsidRDefault="000758C7" w:rsidP="00F07850">
            <w:pPr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9A0DD" w14:textId="77777777" w:rsidR="000758C7" w:rsidRPr="00F07850" w:rsidRDefault="000758C7" w:rsidP="00F07850">
            <w:pPr>
              <w:ind w:left="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174</w:t>
            </w:r>
          </w:p>
        </w:tc>
      </w:tr>
      <w:tr w:rsidR="000758C7" w14:paraId="24CE9802" w14:textId="77777777" w:rsidTr="00A13E9C">
        <w:trPr>
          <w:trHeight w:val="43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60567" w14:textId="77777777" w:rsidR="000758C7" w:rsidRPr="00F07850" w:rsidRDefault="000758C7" w:rsidP="00F07850">
            <w:pPr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A3EAD" w14:textId="77777777" w:rsidR="000758C7" w:rsidRPr="00F07850" w:rsidRDefault="000758C7" w:rsidP="00F07850">
            <w:pPr>
              <w:ind w:left="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Undekan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4328DE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3CB6D" w14:textId="77777777" w:rsidR="000758C7" w:rsidRPr="00F07850" w:rsidRDefault="000758C7" w:rsidP="00F07850">
            <w:pPr>
              <w:ind w:lef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1120-21-4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FFB53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65,0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97A1D" w14:textId="77777777" w:rsidR="000758C7" w:rsidRPr="00F07850" w:rsidRDefault="000758C7" w:rsidP="00F07850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196</w:t>
            </w:r>
          </w:p>
        </w:tc>
      </w:tr>
      <w:tr w:rsidR="000758C7" w14:paraId="7BC5A321" w14:textId="77777777" w:rsidTr="00A13E9C">
        <w:trPr>
          <w:trHeight w:val="4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A46AA" w14:textId="77777777" w:rsidR="000758C7" w:rsidRPr="00F07850" w:rsidRDefault="000758C7" w:rsidP="00F07850">
            <w:pPr>
              <w:ind w:left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5BB9B" w14:textId="77777777" w:rsidR="000758C7" w:rsidRPr="00F07850" w:rsidRDefault="000758C7" w:rsidP="00F07850">
            <w:pPr>
              <w:ind w:left="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Dodekan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DAE699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D6BC0" w14:textId="77777777" w:rsidR="000758C7" w:rsidRPr="00F07850" w:rsidRDefault="000758C7" w:rsidP="00F07850">
            <w:pPr>
              <w:ind w:lef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112-40-3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B7B5F" w14:textId="46BCC11B" w:rsidR="000758C7" w:rsidRPr="00F07850" w:rsidRDefault="00F07850" w:rsidP="00F07850">
            <w:pPr>
              <w:ind w:left="7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89E16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216</w:t>
            </w:r>
          </w:p>
        </w:tc>
      </w:tr>
      <w:tr w:rsidR="000758C7" w14:paraId="773CC25E" w14:textId="77777777" w:rsidTr="00A13E9C">
        <w:trPr>
          <w:trHeight w:val="46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033D4" w14:textId="77777777" w:rsidR="000758C7" w:rsidRPr="00F07850" w:rsidRDefault="000758C7" w:rsidP="00F07850">
            <w:pPr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13C2F" w14:textId="77777777" w:rsidR="000758C7" w:rsidRPr="00F07850" w:rsidRDefault="000758C7" w:rsidP="00F07850">
            <w:pPr>
              <w:ind w:left="1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Tridekan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8EADB1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A383F" w14:textId="77777777" w:rsidR="000758C7" w:rsidRPr="00F07850" w:rsidRDefault="000758C7" w:rsidP="00F07850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629-50-5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C6D4E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27,0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A0774" w14:textId="77777777" w:rsidR="000758C7" w:rsidRPr="00F07850" w:rsidRDefault="000758C7" w:rsidP="00F07850">
            <w:pPr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234</w:t>
            </w:r>
          </w:p>
        </w:tc>
      </w:tr>
      <w:tr w:rsidR="000758C7" w14:paraId="3ECA25F4" w14:textId="77777777" w:rsidTr="00A13E9C">
        <w:trPr>
          <w:trHeight w:val="45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994CE" w14:textId="77777777" w:rsidR="000758C7" w:rsidRPr="00F07850" w:rsidRDefault="000758C7" w:rsidP="00F07850">
            <w:pPr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EA6C9" w14:textId="77777777" w:rsidR="000758C7" w:rsidRPr="00F07850" w:rsidRDefault="000758C7" w:rsidP="00F07850">
            <w:pPr>
              <w:ind w:left="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Tetradekan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E141E9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A8021" w14:textId="77777777" w:rsidR="000758C7" w:rsidRPr="00F07850" w:rsidRDefault="000758C7" w:rsidP="00F07850">
            <w:pPr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629-59-4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4ED3" w14:textId="27A64BD2" w:rsidR="00F07850" w:rsidRPr="00F07850" w:rsidRDefault="00F07850" w:rsidP="00F07850">
            <w:pPr>
              <w:ind w:left="7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6D084" w14:textId="77777777" w:rsidR="000758C7" w:rsidRPr="00F07850" w:rsidRDefault="000758C7" w:rsidP="00F07850">
            <w:pPr>
              <w:ind w:lef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254</w:t>
            </w:r>
          </w:p>
        </w:tc>
      </w:tr>
      <w:tr w:rsidR="000758C7" w14:paraId="04A455C9" w14:textId="77777777" w:rsidTr="00A13E9C">
        <w:trPr>
          <w:trHeight w:val="454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EDED9" w14:textId="77777777" w:rsidR="000758C7" w:rsidRPr="00F07850" w:rsidRDefault="000758C7" w:rsidP="00F07850">
            <w:pPr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7.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82988" w14:textId="77777777" w:rsidR="000758C7" w:rsidRPr="00F07850" w:rsidRDefault="000758C7" w:rsidP="00F07850">
            <w:pPr>
              <w:ind w:left="1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hAnsi="Arial" w:cs="Arial"/>
                <w:sz w:val="22"/>
                <w:szCs w:val="22"/>
              </w:rPr>
              <w:t>Pentadekan</w:t>
            </w:r>
          </w:p>
        </w:tc>
        <w:tc>
          <w:tcPr>
            <w:tcW w:w="1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3E4C9B" w14:textId="77777777" w:rsidR="000758C7" w:rsidRPr="00F07850" w:rsidRDefault="000758C7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D9612" w14:textId="77777777" w:rsidR="000758C7" w:rsidRPr="00F07850" w:rsidRDefault="000758C7" w:rsidP="00F07850">
            <w:pPr>
              <w:ind w:left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629-62-9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207C" w14:textId="5335E6C4" w:rsidR="000758C7" w:rsidRPr="00F07850" w:rsidRDefault="00F07850" w:rsidP="00F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1,0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1F6C3" w14:textId="77777777" w:rsidR="000758C7" w:rsidRPr="00F07850" w:rsidRDefault="000758C7" w:rsidP="00F07850">
            <w:pPr>
              <w:ind w:lef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50">
              <w:rPr>
                <w:rFonts w:ascii="Arial" w:eastAsia="Times New Roman" w:hAnsi="Arial" w:cs="Arial"/>
                <w:sz w:val="22"/>
                <w:szCs w:val="22"/>
              </w:rPr>
              <w:t>270</w:t>
            </w:r>
          </w:p>
        </w:tc>
      </w:tr>
    </w:tbl>
    <w:p w14:paraId="40BF4928" w14:textId="0566640B" w:rsidR="000758C7" w:rsidRDefault="000758C7" w:rsidP="003D5A19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418ABAC" w14:textId="6F296D89" w:rsidR="000758C7" w:rsidRPr="000F2B04" w:rsidRDefault="000F2B04" w:rsidP="000F2B0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04">
        <w:rPr>
          <w:rFonts w:ascii="Arial" w:hAnsi="Arial" w:cs="Arial"/>
          <w:color w:val="000000" w:themeColor="text1"/>
          <w:sz w:val="22"/>
          <w:szCs w:val="22"/>
        </w:rPr>
        <w:t xml:space="preserve">W związku powyższym, Organ przeanalizował właściwości fizykochemiczne </w:t>
      </w:r>
      <w:r w:rsidR="00F12C26">
        <w:rPr>
          <w:rFonts w:ascii="Arial" w:hAnsi="Arial" w:cs="Arial"/>
          <w:color w:val="000000" w:themeColor="text1"/>
          <w:sz w:val="22"/>
          <w:szCs w:val="22"/>
        </w:rPr>
        <w:t xml:space="preserve">w tym główny skład frakcyjny </w:t>
      </w:r>
      <w:r w:rsidRPr="000F2B04">
        <w:rPr>
          <w:rFonts w:ascii="Arial" w:hAnsi="Arial" w:cs="Arial"/>
          <w:color w:val="000000" w:themeColor="text1"/>
          <w:sz w:val="22"/>
          <w:szCs w:val="22"/>
        </w:rPr>
        <w:t>sprowadzanego przez Wnioskodawcę produktu naftowego oznaczonego kodem CN 2710 19 29.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2B04">
        <w:rPr>
          <w:rFonts w:ascii="Arial" w:hAnsi="Arial" w:cs="Arial"/>
          <w:sz w:val="22"/>
          <w:szCs w:val="22"/>
        </w:rPr>
        <w:t xml:space="preserve">Według dostarczonych informacji Produkt </w:t>
      </w:r>
      <w:r w:rsidR="00482A5C">
        <w:rPr>
          <w:rFonts w:ascii="Arial" w:hAnsi="Arial" w:cs="Arial"/>
          <w:sz w:val="22"/>
          <w:szCs w:val="22"/>
        </w:rPr>
        <w:t>C</w:t>
      </w:r>
      <w:r w:rsidRPr="000F2B04">
        <w:rPr>
          <w:rFonts w:ascii="Arial" w:hAnsi="Arial" w:cs="Arial"/>
          <w:sz w:val="22"/>
          <w:szCs w:val="22"/>
        </w:rPr>
        <w:t xml:space="preserve"> jest mieszanką węglowodorów od C11 do C13 destylujących w przedziale od</w:t>
      </w:r>
      <w:r w:rsidR="00482A5C">
        <w:rPr>
          <w:rFonts w:ascii="Arial" w:hAnsi="Arial" w:cs="Arial"/>
          <w:sz w:val="22"/>
          <w:szCs w:val="22"/>
        </w:rPr>
        <w:t> </w:t>
      </w:r>
      <w:r w:rsidRPr="000F2B04">
        <w:rPr>
          <w:rFonts w:ascii="Arial" w:hAnsi="Arial" w:cs="Arial"/>
          <w:sz w:val="22"/>
          <w:szCs w:val="22"/>
        </w:rPr>
        <w:t>151</w:t>
      </w:r>
      <w:r w:rsidR="00482A5C">
        <w:rPr>
          <w:rFonts w:ascii="Arial" w:hAnsi="Arial" w:cs="Arial"/>
          <w:sz w:val="22"/>
          <w:szCs w:val="22"/>
        </w:rPr>
        <w:t> </w:t>
      </w:r>
      <w:r w:rsidRPr="000F2B04">
        <w:rPr>
          <w:rFonts w:ascii="Arial" w:hAnsi="Arial" w:cs="Arial"/>
          <w:sz w:val="22"/>
          <w:szCs w:val="22"/>
          <w:vertAlign w:val="superscript"/>
        </w:rPr>
        <w:t>o</w:t>
      </w:r>
      <w:r w:rsidRPr="000F2B04">
        <w:rPr>
          <w:rFonts w:ascii="Arial" w:hAnsi="Arial" w:cs="Arial"/>
          <w:sz w:val="22"/>
          <w:szCs w:val="22"/>
        </w:rPr>
        <w:t xml:space="preserve">C do 270 </w:t>
      </w:r>
      <w:r w:rsidRPr="000F2B04">
        <w:rPr>
          <w:rFonts w:ascii="Arial" w:hAnsi="Arial" w:cs="Arial"/>
          <w:sz w:val="22"/>
          <w:szCs w:val="22"/>
          <w:vertAlign w:val="superscript"/>
        </w:rPr>
        <w:t>o</w:t>
      </w:r>
      <w:r w:rsidRPr="000F2B04">
        <w:rPr>
          <w:rFonts w:ascii="Arial" w:hAnsi="Arial" w:cs="Arial"/>
          <w:sz w:val="22"/>
          <w:szCs w:val="22"/>
        </w:rPr>
        <w:t xml:space="preserve">C., </w:t>
      </w:r>
      <w:r>
        <w:rPr>
          <w:rFonts w:ascii="Arial" w:hAnsi="Arial" w:cs="Arial"/>
          <w:color w:val="000000" w:themeColor="text1"/>
          <w:sz w:val="22"/>
          <w:szCs w:val="22"/>
        </w:rPr>
        <w:t>Zatem</w:t>
      </w:r>
      <w:r w:rsidR="003C2013" w:rsidRPr="003D5A1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C2013" w:rsidRPr="000F2B04">
        <w:rPr>
          <w:rFonts w:ascii="Arial" w:hAnsi="Arial" w:cs="Arial"/>
          <w:color w:val="000000" w:themeColor="text1"/>
          <w:sz w:val="22"/>
          <w:szCs w:val="22"/>
        </w:rPr>
        <w:t>nie ulega wątpliwości, że zakres temperatur destylacji sprowadzanego przez Wnioskodawcę produktu naftowego mieści się w zakresie 150–300 °C, co potwierdza, że właściwości fizykochemiczne niniejszego produktu są zgodne z</w:t>
      </w:r>
      <w:r w:rsidR="00482A5C">
        <w:rPr>
          <w:rFonts w:ascii="Arial" w:hAnsi="Arial" w:cs="Arial"/>
          <w:color w:val="000000" w:themeColor="text1"/>
          <w:sz w:val="22"/>
          <w:szCs w:val="22"/>
        </w:rPr>
        <w:t> </w:t>
      </w:r>
      <w:r w:rsidR="003C2013" w:rsidRPr="000F2B04">
        <w:rPr>
          <w:rFonts w:ascii="Arial" w:hAnsi="Arial" w:cs="Arial"/>
          <w:color w:val="000000" w:themeColor="text1"/>
          <w:sz w:val="22"/>
          <w:szCs w:val="22"/>
        </w:rPr>
        <w:t>wymaganiami określonymi dla produktów klasyfikowanych do kategorii „inne rodzaje nafty” w załączniku A rozdział 3 rozporządzenia w sprawie statystyki energii.</w:t>
      </w:r>
    </w:p>
    <w:p w14:paraId="5C4B9C93" w14:textId="1B7A9B7B" w:rsidR="00145E66" w:rsidRDefault="00145E66" w:rsidP="00145E6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E4D02">
        <w:rPr>
          <w:rFonts w:ascii="Arial" w:hAnsi="Arial" w:cs="Arial"/>
          <w:sz w:val="22"/>
          <w:szCs w:val="22"/>
        </w:rPr>
        <w:t>Mając na względzie powyższe, w ocenie Organu, spełnione zostały wszystkie przesłanki do zakwalifikowania sprowadzanego przez Wnioskodawcę produktu jako paliwo w</w:t>
      </w:r>
      <w:r>
        <w:rPr>
          <w:rFonts w:ascii="Arial" w:hAnsi="Arial" w:cs="Arial"/>
          <w:sz w:val="22"/>
          <w:szCs w:val="22"/>
        </w:rPr>
        <w:t> </w:t>
      </w:r>
      <w:r w:rsidRPr="004E4D02">
        <w:rPr>
          <w:rFonts w:ascii="Arial" w:hAnsi="Arial" w:cs="Arial"/>
          <w:sz w:val="22"/>
          <w:szCs w:val="22"/>
        </w:rPr>
        <w:t xml:space="preserve">rozumieniu ustawy o zapasach. W związku z czym Wnioskodawca, jako podmiot dokonujący przywozu na terytorium Rzeczypospolitej Polskiej produktu </w:t>
      </w:r>
      <w:r w:rsidR="00D40991">
        <w:rPr>
          <w:rFonts w:ascii="Arial" w:hAnsi="Arial" w:cs="Arial"/>
          <w:sz w:val="22"/>
          <w:szCs w:val="22"/>
        </w:rPr>
        <w:t xml:space="preserve">C </w:t>
      </w:r>
      <w:r w:rsidRPr="004E4D02">
        <w:rPr>
          <w:rFonts w:ascii="Arial" w:hAnsi="Arial" w:cs="Arial"/>
          <w:sz w:val="22"/>
          <w:szCs w:val="22"/>
        </w:rPr>
        <w:t>spełnia definicję handlowca w rozumieniu ustawy o zapasach, co rodzi ustawowe obowiązki w</w:t>
      </w:r>
      <w:r w:rsidR="00D40991">
        <w:rPr>
          <w:rFonts w:ascii="Arial" w:hAnsi="Arial" w:cs="Arial"/>
          <w:sz w:val="22"/>
          <w:szCs w:val="22"/>
        </w:rPr>
        <w:t> </w:t>
      </w:r>
      <w:r w:rsidRPr="004E4D02">
        <w:rPr>
          <w:rFonts w:ascii="Arial" w:hAnsi="Arial" w:cs="Arial"/>
          <w:sz w:val="22"/>
          <w:szCs w:val="22"/>
        </w:rPr>
        <w:t>zakresie tworzenia i</w:t>
      </w:r>
      <w:r>
        <w:rPr>
          <w:rFonts w:ascii="Arial" w:hAnsi="Arial" w:cs="Arial"/>
          <w:sz w:val="22"/>
          <w:szCs w:val="22"/>
        </w:rPr>
        <w:t> </w:t>
      </w:r>
      <w:r w:rsidRPr="004E4D02">
        <w:rPr>
          <w:rFonts w:ascii="Arial" w:hAnsi="Arial" w:cs="Arial"/>
          <w:sz w:val="22"/>
          <w:szCs w:val="22"/>
        </w:rPr>
        <w:t>utrzymywania zapasów obowiązkowych ropy naftowej i paliw</w:t>
      </w:r>
      <w:r>
        <w:rPr>
          <w:rFonts w:ascii="Arial" w:hAnsi="Arial" w:cs="Arial"/>
          <w:sz w:val="22"/>
          <w:szCs w:val="22"/>
        </w:rPr>
        <w:t>, wpisu do</w:t>
      </w:r>
      <w:r w:rsidR="00D4099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rejestru</w:t>
      </w:r>
      <w:r w:rsidRPr="004E4D02">
        <w:rPr>
          <w:rFonts w:ascii="Arial" w:hAnsi="Arial" w:cs="Arial"/>
          <w:sz w:val="22"/>
          <w:szCs w:val="22"/>
        </w:rPr>
        <w:t xml:space="preserve"> oraz </w:t>
      </w:r>
      <w:r w:rsidRPr="004E4D02">
        <w:rPr>
          <w:rFonts w:ascii="Arial" w:hAnsi="Arial" w:cs="Arial"/>
          <w:sz w:val="22"/>
          <w:szCs w:val="22"/>
        </w:rPr>
        <w:lastRenderedPageBreak/>
        <w:t>uiszczania opłaty zapasowej.</w:t>
      </w:r>
      <w:r w:rsidRPr="00180619">
        <w:rPr>
          <w:rFonts w:ascii="Arial" w:hAnsi="Arial" w:cs="Arial"/>
          <w:sz w:val="22"/>
          <w:szCs w:val="22"/>
        </w:rPr>
        <w:t xml:space="preserve"> </w:t>
      </w:r>
      <w:r w:rsidR="00D40991">
        <w:rPr>
          <w:rFonts w:ascii="Arial" w:hAnsi="Arial" w:cs="Arial"/>
          <w:sz w:val="22"/>
          <w:szCs w:val="22"/>
        </w:rPr>
        <w:t>Ponadto należy podkreślić, że ilość sprowadzanego surowca nie ma wpływu na obowiązki wynikające z ustawy o zapasach.</w:t>
      </w:r>
    </w:p>
    <w:p w14:paraId="5BC29E40" w14:textId="788BC6DD" w:rsidR="00145E66" w:rsidRPr="00FA40D7" w:rsidRDefault="00145E66" w:rsidP="00145E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color w:val="000000" w:themeColor="text1"/>
          <w:sz w:val="22"/>
          <w:szCs w:val="22"/>
        </w:rPr>
        <w:t>Ponadto należy wyjaśnić, że z punktu widzenia ustawy o zapasach, a także obowiązków jakie nakłada ustawa na przedsiębiorców dokonujących przywozu, nie jest istotny cel na jaki paliwo to zostało przeznaczone. W związku z powyższym stwierdzenie Wnioskodawcy, że produkt ten wykorzystywany jest przez Wnioskodawcę jako surowiec do</w:t>
      </w:r>
      <w:r w:rsidR="00FB424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>produkcji kosmetyków nie może stanowić przesłanki do zwolnienia przywożonego przez niego produktu z obowiązku tworzenia i utrzymywania zapasów obowiązkowych paliw</w:t>
      </w:r>
      <w:r w:rsidR="00FA40D7" w:rsidRPr="00FA40D7">
        <w:rPr>
          <w:rFonts w:ascii="Arial" w:hAnsi="Arial" w:cs="Arial"/>
          <w:color w:val="000000" w:themeColor="text1"/>
          <w:sz w:val="22"/>
          <w:szCs w:val="22"/>
        </w:rPr>
        <w:t xml:space="preserve">, obowiązku wpisu 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40D7" w:rsidRPr="00FA40D7">
        <w:rPr>
          <w:rFonts w:ascii="Arial" w:hAnsi="Arial" w:cs="Arial"/>
          <w:color w:val="000000" w:themeColor="text1"/>
          <w:sz w:val="22"/>
          <w:szCs w:val="22"/>
        </w:rPr>
        <w:t xml:space="preserve">do rejestru 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>oraz uiszczania opłaty zapasowej. Przepisy ustawy o zapasach nie stanowią podstawy do uznania, że jedynie wolumeny paliw, które są wykorzystywane do</w:t>
      </w:r>
      <w:r w:rsidR="00FB424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celów napędowych lub grzewczych stanowią podstawę </w:t>
      </w:r>
      <w:r w:rsidR="00FA40D7" w:rsidRPr="00FA40D7">
        <w:rPr>
          <w:rFonts w:ascii="Arial" w:hAnsi="Arial" w:cs="Arial"/>
          <w:color w:val="000000" w:themeColor="text1"/>
          <w:sz w:val="22"/>
          <w:szCs w:val="22"/>
        </w:rPr>
        <w:t xml:space="preserve">do wpisy do rejestru, 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>wyliczenia wymaganego poziomu zapasów obowiązkowych i uiszczania opłaty zapasowej.</w:t>
      </w:r>
    </w:p>
    <w:p w14:paraId="5F6F59DB" w14:textId="754FAE76" w:rsidR="00915901" w:rsidRPr="006504B6" w:rsidRDefault="00915901" w:rsidP="00915901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powyższego, m</w:t>
      </w:r>
      <w:r w:rsidRPr="006504B6">
        <w:rPr>
          <w:rFonts w:ascii="Arial" w:hAnsi="Arial" w:cs="Arial"/>
          <w:sz w:val="22"/>
          <w:szCs w:val="22"/>
        </w:rPr>
        <w:t>ając na uwadze przedstawiony we wniosku</w:t>
      </w:r>
      <w:r>
        <w:rPr>
          <w:rFonts w:ascii="Arial" w:hAnsi="Arial" w:cs="Arial"/>
          <w:sz w:val="22"/>
          <w:szCs w:val="22"/>
        </w:rPr>
        <w:t xml:space="preserve"> o udzielenie interpretacji</w:t>
      </w:r>
      <w:r w:rsidRPr="006504B6">
        <w:rPr>
          <w:rFonts w:ascii="Arial" w:hAnsi="Arial" w:cs="Arial"/>
          <w:sz w:val="22"/>
          <w:szCs w:val="22"/>
        </w:rPr>
        <w:t xml:space="preserve"> opis stanu faktycznego</w:t>
      </w:r>
      <w:r>
        <w:rPr>
          <w:rFonts w:ascii="Arial" w:hAnsi="Arial" w:cs="Arial"/>
          <w:sz w:val="22"/>
          <w:szCs w:val="22"/>
        </w:rPr>
        <w:t>,</w:t>
      </w:r>
      <w:r w:rsidRPr="006504B6">
        <w:rPr>
          <w:rFonts w:ascii="Arial" w:hAnsi="Arial" w:cs="Arial"/>
          <w:sz w:val="22"/>
          <w:szCs w:val="22"/>
        </w:rPr>
        <w:t xml:space="preserve"> Prezes Agencji stwierdza, </w:t>
      </w:r>
      <w:r>
        <w:rPr>
          <w:rFonts w:ascii="Arial" w:hAnsi="Arial" w:cs="Arial"/>
          <w:sz w:val="22"/>
          <w:szCs w:val="22"/>
        </w:rPr>
        <w:t>że</w:t>
      </w:r>
      <w:r w:rsidRPr="006504B6">
        <w:rPr>
          <w:rFonts w:ascii="Arial" w:hAnsi="Arial" w:cs="Arial"/>
          <w:sz w:val="22"/>
          <w:szCs w:val="22"/>
        </w:rPr>
        <w:t xml:space="preserve"> Wnioskodawca podlega obowiązkom wskazanym w ustawie o zapasach, w szczególności obowiązkowi </w:t>
      </w:r>
      <w:r>
        <w:rPr>
          <w:rFonts w:ascii="Arial" w:hAnsi="Arial" w:cs="Arial"/>
          <w:sz w:val="22"/>
          <w:szCs w:val="22"/>
        </w:rPr>
        <w:t>tworzenia i utrzymywania zapasów obowiązkowych ropy naftowej lub paliw</w:t>
      </w:r>
      <w:r w:rsidR="00510160">
        <w:rPr>
          <w:rFonts w:ascii="Arial" w:hAnsi="Arial" w:cs="Arial"/>
          <w:sz w:val="22"/>
          <w:szCs w:val="22"/>
        </w:rPr>
        <w:t>, wpisu do rejestru</w:t>
      </w:r>
      <w:r>
        <w:rPr>
          <w:rFonts w:ascii="Arial" w:hAnsi="Arial" w:cs="Arial"/>
          <w:sz w:val="22"/>
          <w:szCs w:val="22"/>
        </w:rPr>
        <w:t xml:space="preserve"> oraz </w:t>
      </w:r>
      <w:r w:rsidRPr="006504B6">
        <w:rPr>
          <w:rFonts w:ascii="Arial" w:hAnsi="Arial" w:cs="Arial"/>
          <w:sz w:val="22"/>
          <w:szCs w:val="22"/>
        </w:rPr>
        <w:t>uiszczania opłaty zapasowej</w:t>
      </w:r>
      <w:r>
        <w:rPr>
          <w:rFonts w:ascii="Arial" w:hAnsi="Arial" w:cs="Arial"/>
          <w:sz w:val="22"/>
          <w:szCs w:val="22"/>
        </w:rPr>
        <w:t xml:space="preserve"> </w:t>
      </w:r>
      <w:r w:rsidRPr="006504B6">
        <w:rPr>
          <w:rFonts w:ascii="Arial" w:hAnsi="Arial" w:cs="Arial"/>
          <w:sz w:val="22"/>
          <w:szCs w:val="22"/>
        </w:rPr>
        <w:t xml:space="preserve">z </w:t>
      </w:r>
      <w:r w:rsidR="009B4306">
        <w:rPr>
          <w:rFonts w:ascii="Arial" w:hAnsi="Arial" w:cs="Arial"/>
          <w:sz w:val="22"/>
          <w:szCs w:val="22"/>
        </w:rPr>
        <w:t xml:space="preserve">tytułu przywozu </w:t>
      </w:r>
      <w:r w:rsidRPr="006504B6">
        <w:rPr>
          <w:rFonts w:ascii="Arial" w:hAnsi="Arial" w:cs="Arial"/>
          <w:sz w:val="22"/>
          <w:szCs w:val="22"/>
        </w:rPr>
        <w:t xml:space="preserve">produktu </w:t>
      </w:r>
      <w:r>
        <w:rPr>
          <w:rFonts w:ascii="Arial" w:hAnsi="Arial" w:cs="Arial"/>
          <w:sz w:val="22"/>
          <w:szCs w:val="22"/>
        </w:rPr>
        <w:t>naftowego</w:t>
      </w:r>
      <w:r w:rsidR="009B4306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oznaczonego </w:t>
      </w:r>
      <w:r w:rsidRPr="006504B6">
        <w:rPr>
          <w:rFonts w:ascii="Arial" w:hAnsi="Arial" w:cs="Arial"/>
          <w:sz w:val="22"/>
          <w:szCs w:val="22"/>
        </w:rPr>
        <w:t>kod</w:t>
      </w:r>
      <w:r>
        <w:rPr>
          <w:rFonts w:ascii="Arial" w:hAnsi="Arial" w:cs="Arial"/>
          <w:sz w:val="22"/>
          <w:szCs w:val="22"/>
        </w:rPr>
        <w:t>em</w:t>
      </w:r>
      <w:r w:rsidRPr="006504B6">
        <w:rPr>
          <w:rFonts w:ascii="Arial" w:hAnsi="Arial" w:cs="Arial"/>
          <w:sz w:val="22"/>
          <w:szCs w:val="22"/>
        </w:rPr>
        <w:t xml:space="preserve"> CN </w:t>
      </w:r>
      <w:r>
        <w:rPr>
          <w:rFonts w:ascii="Arial" w:hAnsi="Arial" w:cs="Arial"/>
          <w:sz w:val="22"/>
          <w:szCs w:val="22"/>
        </w:rPr>
        <w:t>2710 19 29</w:t>
      </w:r>
      <w:r w:rsidRPr="006504B6">
        <w:rPr>
          <w:rFonts w:ascii="Arial" w:hAnsi="Arial" w:cs="Arial"/>
          <w:sz w:val="22"/>
          <w:szCs w:val="22"/>
        </w:rPr>
        <w:t xml:space="preserve">  bowiem przedmiotowy produkt spełnia definicj</w:t>
      </w:r>
      <w:r>
        <w:rPr>
          <w:rFonts w:ascii="Arial" w:hAnsi="Arial" w:cs="Arial"/>
          <w:sz w:val="22"/>
          <w:szCs w:val="22"/>
        </w:rPr>
        <w:t>ę</w:t>
      </w:r>
      <w:r w:rsidRPr="006504B6">
        <w:rPr>
          <w:rFonts w:ascii="Arial" w:hAnsi="Arial" w:cs="Arial"/>
          <w:sz w:val="22"/>
          <w:szCs w:val="22"/>
        </w:rPr>
        <w:t xml:space="preserve"> paliwa w rozumieniu ustawy o</w:t>
      </w:r>
      <w:r w:rsidR="00510160">
        <w:rPr>
          <w:rFonts w:ascii="Arial" w:hAnsi="Arial" w:cs="Arial"/>
          <w:sz w:val="22"/>
          <w:szCs w:val="22"/>
        </w:rPr>
        <w:t> </w:t>
      </w:r>
      <w:r w:rsidRPr="006504B6">
        <w:rPr>
          <w:rFonts w:ascii="Arial" w:hAnsi="Arial" w:cs="Arial"/>
          <w:sz w:val="22"/>
          <w:szCs w:val="22"/>
        </w:rPr>
        <w:t>zapasach</w:t>
      </w:r>
      <w:r w:rsidR="00510160">
        <w:rPr>
          <w:rFonts w:ascii="Arial" w:hAnsi="Arial" w:cs="Arial"/>
          <w:sz w:val="22"/>
          <w:szCs w:val="22"/>
        </w:rPr>
        <w:t>.</w:t>
      </w:r>
      <w:r w:rsidRPr="006504B6">
        <w:rPr>
          <w:rFonts w:ascii="Arial" w:hAnsi="Arial" w:cs="Arial"/>
          <w:sz w:val="22"/>
          <w:szCs w:val="22"/>
        </w:rPr>
        <w:t xml:space="preserve"> </w:t>
      </w:r>
    </w:p>
    <w:p w14:paraId="7545AC24" w14:textId="0CE9DD9D" w:rsidR="00915901" w:rsidRPr="00915901" w:rsidRDefault="00915901" w:rsidP="00915901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04B6">
        <w:rPr>
          <w:rFonts w:ascii="Arial" w:hAnsi="Arial" w:cs="Arial"/>
          <w:sz w:val="22"/>
          <w:szCs w:val="22"/>
        </w:rPr>
        <w:t xml:space="preserve">Zatem w tak opisanym stanie faktycznym Prezes Rządowej Agencji Rezerw Strategicznych uznaje stanowisko Wnioskodawcy </w:t>
      </w:r>
      <w:r w:rsidRPr="00CC6B7F">
        <w:rPr>
          <w:rFonts w:ascii="Arial" w:hAnsi="Arial" w:cs="Arial"/>
          <w:b/>
          <w:sz w:val="22"/>
          <w:szCs w:val="22"/>
        </w:rPr>
        <w:t>za nieprawidłowe</w:t>
      </w:r>
      <w:r w:rsidRPr="006504B6">
        <w:rPr>
          <w:rFonts w:ascii="Arial" w:hAnsi="Arial" w:cs="Arial"/>
          <w:sz w:val="22"/>
          <w:szCs w:val="22"/>
        </w:rPr>
        <w:t>.</w:t>
      </w:r>
    </w:p>
    <w:p w14:paraId="1E7C9DB6" w14:textId="77777777" w:rsidR="006F7C31" w:rsidRPr="00FA40D7" w:rsidRDefault="006F7C31" w:rsidP="006F7C3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color w:val="000000" w:themeColor="text1"/>
          <w:sz w:val="22"/>
          <w:szCs w:val="22"/>
        </w:rPr>
        <w:t>Mając na uwadze powyższe, orzeczono jak w sentencji.</w:t>
      </w:r>
    </w:p>
    <w:p w14:paraId="2DBB249D" w14:textId="77777777" w:rsidR="006F7C31" w:rsidRPr="00FA40D7" w:rsidRDefault="006F7C31" w:rsidP="006F7C3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Interpretacja dotyczy stanu faktycznego przedstawionego przez Wnioskodawcę i stanu prawnego obowiązującego w dniu wydania interpretacji. </w:t>
      </w:r>
    </w:p>
    <w:p w14:paraId="7F78582C" w14:textId="77777777" w:rsidR="006F7C31" w:rsidRPr="00FA40D7" w:rsidRDefault="006F7C31" w:rsidP="006F7C3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DB9894" w14:textId="77777777" w:rsidR="006F7C31" w:rsidRPr="00FA40D7" w:rsidRDefault="006F7C31" w:rsidP="006F7C3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b/>
          <w:color w:val="000000" w:themeColor="text1"/>
          <w:sz w:val="22"/>
          <w:szCs w:val="22"/>
        </w:rPr>
        <w:t>POUCZENIE</w:t>
      </w:r>
    </w:p>
    <w:p w14:paraId="717944B2" w14:textId="751A68D9" w:rsidR="006F7C31" w:rsidRPr="00FA40D7" w:rsidRDefault="006F7C31" w:rsidP="006F7C31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Od niniejszej decyzji przysługuje Stronie odwołanie do  Ministra Klimatu i Środowiska, w terminie 14 dni od dnia jej doręczenia. Odwołanie wnosi się za pośrednictwem Prezesa </w:t>
      </w:r>
      <w:r w:rsidR="00A71C44" w:rsidRPr="00FA40D7">
        <w:rPr>
          <w:rFonts w:ascii="Arial" w:hAnsi="Arial" w:cs="Arial"/>
          <w:color w:val="000000" w:themeColor="text1"/>
          <w:sz w:val="22"/>
          <w:szCs w:val="22"/>
        </w:rPr>
        <w:t xml:space="preserve">Rządowej 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Agencji Rezerw </w:t>
      </w:r>
      <w:r w:rsidR="00A71C44" w:rsidRPr="00FA40D7">
        <w:rPr>
          <w:rFonts w:ascii="Arial" w:hAnsi="Arial" w:cs="Arial"/>
          <w:color w:val="000000" w:themeColor="text1"/>
          <w:sz w:val="22"/>
          <w:szCs w:val="22"/>
        </w:rPr>
        <w:t>Strategicznych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; 00-844 Warszawa, ul. Grzybowska 45. </w:t>
      </w:r>
    </w:p>
    <w:p w14:paraId="544D662F" w14:textId="1B6F4EBD" w:rsidR="006F7C31" w:rsidRPr="00FA40D7" w:rsidRDefault="006F7C31" w:rsidP="006F7C31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trakcie biegu terminu do wniesienia odwołania Strona może zrzec się prawa do wniesienia odwołania. Z dniem doręczenia Prezesowi </w:t>
      </w:r>
      <w:r w:rsidR="00A71C44" w:rsidRPr="00FA40D7">
        <w:rPr>
          <w:rFonts w:ascii="Arial" w:hAnsi="Arial" w:cs="Arial"/>
          <w:color w:val="000000" w:themeColor="text1"/>
          <w:sz w:val="22"/>
          <w:szCs w:val="22"/>
        </w:rPr>
        <w:t xml:space="preserve">Rządowej 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Agencji Rezerw </w:t>
      </w:r>
      <w:r w:rsidR="00A71C44" w:rsidRPr="00FA40D7">
        <w:rPr>
          <w:rFonts w:ascii="Arial" w:hAnsi="Arial" w:cs="Arial"/>
          <w:color w:val="000000" w:themeColor="text1"/>
          <w:sz w:val="22"/>
          <w:szCs w:val="22"/>
        </w:rPr>
        <w:t>Strategicznych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 xml:space="preserve"> oświadczenia Strony o zrzeczeniu się prawa do wniesienia odwołania, decyzja staje się ostateczna i prawomocna.</w:t>
      </w:r>
    </w:p>
    <w:p w14:paraId="4F37F704" w14:textId="4B7BA006" w:rsidR="00C5168E" w:rsidRPr="00FA40D7" w:rsidRDefault="006F7C31" w:rsidP="00A71C44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40D7">
        <w:rPr>
          <w:rFonts w:ascii="Arial" w:hAnsi="Arial" w:cs="Arial"/>
          <w:color w:val="000000" w:themeColor="text1"/>
          <w:sz w:val="22"/>
          <w:szCs w:val="22"/>
        </w:rPr>
        <w:t>Zgodnie z art. 136 § 2 Kodeksu postępowania administracyjnego (dalej: „k.p.a.”), jeżeli decyzja została wydana z naruszeniem przepisów postępowania, a konieczny do</w:t>
      </w:r>
      <w:r w:rsidR="00A71C44" w:rsidRPr="00FA40D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A40D7">
        <w:rPr>
          <w:rFonts w:ascii="Arial" w:hAnsi="Arial" w:cs="Arial"/>
          <w:color w:val="000000" w:themeColor="text1"/>
          <w:sz w:val="22"/>
          <w:szCs w:val="22"/>
        </w:rPr>
        <w:t>wyjaśnienia zakres sprawy ma istotny wpływ na jej rozstrzygnięcie, na zgodny wniosek wszystkich stron zawarty w odwołaniu, organ odwoławczy przeprowadza postępowanie</w:t>
      </w:r>
    </w:p>
    <w:p w14:paraId="3A718FBA" w14:textId="6FDCE238" w:rsidR="00473C5B" w:rsidRPr="001D49FC" w:rsidRDefault="00473C5B" w:rsidP="006F7C31">
      <w:pPr>
        <w:pStyle w:val="Teksttreci0"/>
        <w:shd w:val="clear" w:color="auto" w:fill="auto"/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473C5B" w:rsidRPr="001D49FC" w:rsidSect="00A6352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6DA55EAA" w14:textId="77777777" w:rsidR="00306A57" w:rsidRDefault="00306A57" w:rsidP="003D1183">
      <w:pPr>
        <w:jc w:val="both"/>
        <w:rPr>
          <w:rFonts w:ascii="Arial" w:hAnsi="Arial" w:cs="Arial"/>
          <w:sz w:val="18"/>
          <w:szCs w:val="18"/>
        </w:rPr>
      </w:pPr>
    </w:p>
    <w:p w14:paraId="7C1F6064" w14:textId="77777777" w:rsidR="00306A57" w:rsidRDefault="00306A57" w:rsidP="003D1183">
      <w:pPr>
        <w:jc w:val="both"/>
        <w:rPr>
          <w:rFonts w:ascii="Arial" w:hAnsi="Arial" w:cs="Arial"/>
          <w:sz w:val="18"/>
          <w:szCs w:val="18"/>
        </w:rPr>
      </w:pPr>
    </w:p>
    <w:p w14:paraId="59B7A4D8" w14:textId="46C36C9E" w:rsidR="00306A57" w:rsidRDefault="00306A57" w:rsidP="003D1183">
      <w:pPr>
        <w:jc w:val="both"/>
        <w:rPr>
          <w:rFonts w:ascii="Arial" w:hAnsi="Arial" w:cs="Arial"/>
          <w:sz w:val="18"/>
          <w:szCs w:val="18"/>
        </w:rPr>
      </w:pPr>
    </w:p>
    <w:p w14:paraId="4E81DD87" w14:textId="671C5A49" w:rsidR="00FB4248" w:rsidRDefault="00FB4248" w:rsidP="003D1183">
      <w:pPr>
        <w:jc w:val="both"/>
        <w:rPr>
          <w:rFonts w:ascii="Arial" w:hAnsi="Arial" w:cs="Arial"/>
          <w:sz w:val="18"/>
          <w:szCs w:val="18"/>
        </w:rPr>
      </w:pPr>
    </w:p>
    <w:p w14:paraId="45C07EFB" w14:textId="64BAF26B" w:rsidR="00FB4248" w:rsidRDefault="00FB4248" w:rsidP="003D1183">
      <w:pPr>
        <w:jc w:val="both"/>
        <w:rPr>
          <w:rFonts w:ascii="Arial" w:hAnsi="Arial" w:cs="Arial"/>
          <w:sz w:val="18"/>
          <w:szCs w:val="18"/>
        </w:rPr>
      </w:pPr>
    </w:p>
    <w:p w14:paraId="72F2DA32" w14:textId="69A99C82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2AE61A3E" w14:textId="58898F65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304EEB7C" w14:textId="5EACCD0F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2643B090" w14:textId="0DD93E4F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623826CD" w14:textId="1F3578F7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616E642F" w14:textId="630651B6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0479AFE0" w14:textId="4B5CE869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464CDB49" w14:textId="0D8562E1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512EFFAB" w14:textId="13132A3A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6147A426" w14:textId="14711EAC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52B2704B" w14:textId="228AD5D9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433AAF30" w14:textId="3D5F979C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174806FA" w14:textId="41406D5A" w:rsidR="00D234D3" w:rsidRDefault="00D234D3" w:rsidP="003D1183">
      <w:pPr>
        <w:jc w:val="both"/>
        <w:rPr>
          <w:rFonts w:ascii="Arial" w:hAnsi="Arial" w:cs="Arial"/>
          <w:sz w:val="18"/>
          <w:szCs w:val="18"/>
        </w:rPr>
      </w:pPr>
    </w:p>
    <w:p w14:paraId="64A06334" w14:textId="5AC1D93B" w:rsidR="003D1183" w:rsidRPr="00D448B9" w:rsidRDefault="003D1183" w:rsidP="003D1183">
      <w:pPr>
        <w:jc w:val="both"/>
        <w:rPr>
          <w:rFonts w:ascii="Arial" w:hAnsi="Arial" w:cs="Arial"/>
          <w:sz w:val="18"/>
          <w:szCs w:val="18"/>
        </w:rPr>
      </w:pPr>
      <w:r w:rsidRPr="00D448B9">
        <w:rPr>
          <w:rFonts w:ascii="Arial" w:hAnsi="Arial" w:cs="Arial"/>
          <w:sz w:val="18"/>
          <w:szCs w:val="18"/>
        </w:rPr>
        <w:t>Otrzymują:</w:t>
      </w:r>
    </w:p>
    <w:p w14:paraId="677D15CE" w14:textId="0F5F77EE" w:rsidR="003D1183" w:rsidRPr="00D448B9" w:rsidRDefault="003D1183" w:rsidP="003D1183">
      <w:pPr>
        <w:jc w:val="both"/>
        <w:rPr>
          <w:rFonts w:ascii="Arial" w:hAnsi="Arial" w:cs="Arial"/>
          <w:sz w:val="18"/>
          <w:szCs w:val="18"/>
        </w:rPr>
      </w:pPr>
      <w:r w:rsidRPr="00D448B9">
        <w:rPr>
          <w:rFonts w:ascii="Arial" w:hAnsi="Arial" w:cs="Arial"/>
          <w:sz w:val="18"/>
          <w:szCs w:val="18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 adresat </w:t>
      </w:r>
      <w:r w:rsidRPr="00D448B9">
        <w:rPr>
          <w:rFonts w:ascii="Arial" w:hAnsi="Arial" w:cs="Arial"/>
          <w:sz w:val="18"/>
          <w:szCs w:val="18"/>
        </w:rPr>
        <w:t xml:space="preserve"> (ZPO+KPA);</w:t>
      </w:r>
    </w:p>
    <w:p w14:paraId="44BA6EBB" w14:textId="77777777" w:rsidR="003D1183" w:rsidRPr="009B0207" w:rsidRDefault="003D1183" w:rsidP="003D118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B0207">
        <w:rPr>
          <w:rFonts w:ascii="Arial" w:hAnsi="Arial" w:cs="Arial"/>
          <w:sz w:val="18"/>
          <w:szCs w:val="18"/>
          <w:lang w:val="en-US"/>
        </w:rPr>
        <w:t>2)  BPI;</w:t>
      </w:r>
    </w:p>
    <w:p w14:paraId="3F36CF2E" w14:textId="5E0AD9AB" w:rsidR="003D1183" w:rsidRDefault="003D1183" w:rsidP="003D118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B0207">
        <w:rPr>
          <w:rFonts w:ascii="Arial" w:hAnsi="Arial" w:cs="Arial"/>
          <w:sz w:val="18"/>
          <w:szCs w:val="18"/>
          <w:lang w:val="en-US"/>
        </w:rPr>
        <w:t xml:space="preserve">3)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B0207">
        <w:rPr>
          <w:rFonts w:ascii="Arial" w:hAnsi="Arial" w:cs="Arial"/>
          <w:sz w:val="18"/>
          <w:szCs w:val="18"/>
          <w:lang w:val="en-US"/>
        </w:rPr>
        <w:t xml:space="preserve">a.a. </w:t>
      </w:r>
    </w:p>
    <w:p w14:paraId="614D52DB" w14:textId="6E707E50" w:rsidR="00306A57" w:rsidRDefault="00306A57" w:rsidP="003D118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CAAAC56" w14:textId="77777777" w:rsidR="00306A57" w:rsidRPr="009B0207" w:rsidRDefault="00306A57" w:rsidP="003D118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5CCD567" w14:textId="5BF03FF6" w:rsidR="001E460D" w:rsidRPr="001D49FC" w:rsidRDefault="001E460D" w:rsidP="00C5168E">
      <w:pPr>
        <w:pStyle w:val="Teksttreci0"/>
        <w:shd w:val="clear" w:color="auto" w:fill="auto"/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1E460D" w:rsidRPr="001D49FC" w:rsidSect="00AD1D61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1A61" w14:textId="77777777" w:rsidR="00F773DF" w:rsidRDefault="00F773DF" w:rsidP="006A0496">
      <w:r>
        <w:separator/>
      </w:r>
    </w:p>
  </w:endnote>
  <w:endnote w:type="continuationSeparator" w:id="0">
    <w:p w14:paraId="0737553B" w14:textId="77777777" w:rsidR="00F773DF" w:rsidRDefault="00F773D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157D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157D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157D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157DA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F12" w14:textId="77777777" w:rsidR="00191CF0" w:rsidRDefault="00191CF0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CA7CF2" w14:textId="77777777" w:rsidR="00191CF0" w:rsidRDefault="00191CF0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BEF" w14:textId="11417BA0" w:rsidR="00191CF0" w:rsidRPr="00FE6479" w:rsidRDefault="00191CF0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2D11A51D" wp14:editId="18F80B5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F4B9" id="Łącznik prosty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A12030" w:rsidRPr="00A12030">
      <w:rPr>
        <w:rFonts w:ascii="Arial" w:hAnsi="Arial" w:cs="Arial"/>
        <w:noProof/>
        <w:sz w:val="16"/>
        <w:szCs w:val="16"/>
      </w:rPr>
      <w:t xml:space="preserve"> </w:t>
    </w:r>
    <w:r w:rsidR="00A1203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A12030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69C3BE9D" w14:textId="77777777" w:rsidR="00191CF0" w:rsidRPr="00F6341F" w:rsidRDefault="00191CF0" w:rsidP="00F6341F">
    <w:pPr>
      <w:pStyle w:val="Stopka"/>
      <w:rPr>
        <w:rFonts w:cs="Times New Roman (Tekst podstawo"/>
        <w:sz w:val="14"/>
        <w:szCs w:val="14"/>
      </w:rPr>
    </w:pPr>
  </w:p>
  <w:p w14:paraId="15746F1F" w14:textId="77777777" w:rsidR="00191CF0" w:rsidRPr="00FE6479" w:rsidRDefault="00191CF0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5168E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5168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2B9" w14:textId="77777777" w:rsidR="00191CF0" w:rsidRDefault="00191CF0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7ED7350F" wp14:editId="211B6C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DB40D" id="Łącznik prosty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N6RLc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673CB447" w14:textId="77777777" w:rsidR="00191CF0" w:rsidRPr="00A337DE" w:rsidRDefault="00191CF0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EDCF62A" w14:textId="77777777" w:rsidR="00191CF0" w:rsidRPr="00A337DE" w:rsidRDefault="00191CF0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5168E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126D" w14:textId="77777777" w:rsidR="00F773DF" w:rsidRDefault="00F773DF" w:rsidP="006A0496">
      <w:r>
        <w:separator/>
      </w:r>
    </w:p>
  </w:footnote>
  <w:footnote w:type="continuationSeparator" w:id="0">
    <w:p w14:paraId="0E1C2119" w14:textId="77777777" w:rsidR="00F773DF" w:rsidRDefault="00F773D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A89A" w14:textId="3338D1A5" w:rsidR="00191CF0" w:rsidRDefault="00191CF0" w:rsidP="0076706B">
    <w:pPr>
      <w:pStyle w:val="Nagwek"/>
      <w:tabs>
        <w:tab w:val="clear" w:pos="4536"/>
        <w:tab w:val="clear" w:pos="9072"/>
        <w:tab w:val="left" w:pos="73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D8F"/>
    <w:multiLevelType w:val="hybridMultilevel"/>
    <w:tmpl w:val="6120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8B9"/>
    <w:multiLevelType w:val="hybridMultilevel"/>
    <w:tmpl w:val="8EE08FE6"/>
    <w:lvl w:ilvl="0" w:tplc="D3C25A2C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C2080F"/>
    <w:multiLevelType w:val="hybridMultilevel"/>
    <w:tmpl w:val="7932EDFA"/>
    <w:lvl w:ilvl="0" w:tplc="2684061A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0C29"/>
    <w:multiLevelType w:val="hybridMultilevel"/>
    <w:tmpl w:val="7AE88C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E179A0"/>
    <w:multiLevelType w:val="hybridMultilevel"/>
    <w:tmpl w:val="52F04F42"/>
    <w:lvl w:ilvl="0" w:tplc="03FAD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672802"/>
    <w:multiLevelType w:val="hybridMultilevel"/>
    <w:tmpl w:val="C63C9488"/>
    <w:lvl w:ilvl="0" w:tplc="E36EB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32B4"/>
    <w:rsid w:val="00012299"/>
    <w:rsid w:val="00012993"/>
    <w:rsid w:val="00014459"/>
    <w:rsid w:val="000167CE"/>
    <w:rsid w:val="000174E5"/>
    <w:rsid w:val="000204EF"/>
    <w:rsid w:val="000223ED"/>
    <w:rsid w:val="00035B6E"/>
    <w:rsid w:val="000363AD"/>
    <w:rsid w:val="000562A5"/>
    <w:rsid w:val="000577CB"/>
    <w:rsid w:val="000624E1"/>
    <w:rsid w:val="00062B72"/>
    <w:rsid w:val="00062BD4"/>
    <w:rsid w:val="0006517D"/>
    <w:rsid w:val="0007368E"/>
    <w:rsid w:val="000743CF"/>
    <w:rsid w:val="000758C7"/>
    <w:rsid w:val="00083F01"/>
    <w:rsid w:val="00087592"/>
    <w:rsid w:val="00096348"/>
    <w:rsid w:val="00097C2D"/>
    <w:rsid w:val="000B05FB"/>
    <w:rsid w:val="000C4740"/>
    <w:rsid w:val="000C7CDF"/>
    <w:rsid w:val="000F2B04"/>
    <w:rsid w:val="00130F3F"/>
    <w:rsid w:val="00137BA2"/>
    <w:rsid w:val="0014473B"/>
    <w:rsid w:val="00145E66"/>
    <w:rsid w:val="00146C1C"/>
    <w:rsid w:val="0015091E"/>
    <w:rsid w:val="00164ECB"/>
    <w:rsid w:val="00191CF0"/>
    <w:rsid w:val="001A7842"/>
    <w:rsid w:val="001C6AF2"/>
    <w:rsid w:val="001D025F"/>
    <w:rsid w:val="001D49FC"/>
    <w:rsid w:val="001D5425"/>
    <w:rsid w:val="001E460D"/>
    <w:rsid w:val="001F04A6"/>
    <w:rsid w:val="001F1157"/>
    <w:rsid w:val="001F2090"/>
    <w:rsid w:val="0020760D"/>
    <w:rsid w:val="00214C98"/>
    <w:rsid w:val="0021585D"/>
    <w:rsid w:val="00217403"/>
    <w:rsid w:val="002237AE"/>
    <w:rsid w:val="00251042"/>
    <w:rsid w:val="00253996"/>
    <w:rsid w:val="002615F6"/>
    <w:rsid w:val="0028134C"/>
    <w:rsid w:val="00285CBE"/>
    <w:rsid w:val="0029274C"/>
    <w:rsid w:val="00293BDC"/>
    <w:rsid w:val="002949DE"/>
    <w:rsid w:val="00297681"/>
    <w:rsid w:val="002A083F"/>
    <w:rsid w:val="002A55B8"/>
    <w:rsid w:val="002B6165"/>
    <w:rsid w:val="002B7212"/>
    <w:rsid w:val="002C4F4B"/>
    <w:rsid w:val="002D1723"/>
    <w:rsid w:val="002E4391"/>
    <w:rsid w:val="002F1D55"/>
    <w:rsid w:val="002F304A"/>
    <w:rsid w:val="002F4681"/>
    <w:rsid w:val="0030650F"/>
    <w:rsid w:val="00306A57"/>
    <w:rsid w:val="00311EB5"/>
    <w:rsid w:val="00314E7A"/>
    <w:rsid w:val="00321033"/>
    <w:rsid w:val="003642DB"/>
    <w:rsid w:val="00375A34"/>
    <w:rsid w:val="00383099"/>
    <w:rsid w:val="0039025D"/>
    <w:rsid w:val="00393C92"/>
    <w:rsid w:val="003A1661"/>
    <w:rsid w:val="003A2D98"/>
    <w:rsid w:val="003B6B60"/>
    <w:rsid w:val="003C2013"/>
    <w:rsid w:val="003C6362"/>
    <w:rsid w:val="003D1183"/>
    <w:rsid w:val="003D5A19"/>
    <w:rsid w:val="003F4849"/>
    <w:rsid w:val="003F778D"/>
    <w:rsid w:val="00400E42"/>
    <w:rsid w:val="00404846"/>
    <w:rsid w:val="00444289"/>
    <w:rsid w:val="00473C5B"/>
    <w:rsid w:val="00474249"/>
    <w:rsid w:val="0047743F"/>
    <w:rsid w:val="00482A5C"/>
    <w:rsid w:val="00484D6D"/>
    <w:rsid w:val="004A214D"/>
    <w:rsid w:val="004C18CC"/>
    <w:rsid w:val="004E53DD"/>
    <w:rsid w:val="004F4B71"/>
    <w:rsid w:val="004F4D31"/>
    <w:rsid w:val="005023D2"/>
    <w:rsid w:val="00510160"/>
    <w:rsid w:val="00526B6C"/>
    <w:rsid w:val="005439B1"/>
    <w:rsid w:val="00567013"/>
    <w:rsid w:val="0057089A"/>
    <w:rsid w:val="00593F23"/>
    <w:rsid w:val="005A1C8F"/>
    <w:rsid w:val="005C22F7"/>
    <w:rsid w:val="005D760E"/>
    <w:rsid w:val="005E1780"/>
    <w:rsid w:val="005F60F3"/>
    <w:rsid w:val="0060270F"/>
    <w:rsid w:val="00603AD0"/>
    <w:rsid w:val="00622D7E"/>
    <w:rsid w:val="0062494F"/>
    <w:rsid w:val="00627616"/>
    <w:rsid w:val="00641264"/>
    <w:rsid w:val="00643E28"/>
    <w:rsid w:val="006502B3"/>
    <w:rsid w:val="0066148A"/>
    <w:rsid w:val="0068169C"/>
    <w:rsid w:val="006A0496"/>
    <w:rsid w:val="006B4C4B"/>
    <w:rsid w:val="006C04A6"/>
    <w:rsid w:val="006D1835"/>
    <w:rsid w:val="006F34B6"/>
    <w:rsid w:val="006F7C31"/>
    <w:rsid w:val="007001D2"/>
    <w:rsid w:val="007007BB"/>
    <w:rsid w:val="00721496"/>
    <w:rsid w:val="00722D8B"/>
    <w:rsid w:val="0074279C"/>
    <w:rsid w:val="0074712D"/>
    <w:rsid w:val="0075317C"/>
    <w:rsid w:val="0076706B"/>
    <w:rsid w:val="00773A28"/>
    <w:rsid w:val="00774066"/>
    <w:rsid w:val="00780004"/>
    <w:rsid w:val="00784B3E"/>
    <w:rsid w:val="007A05ED"/>
    <w:rsid w:val="007A7B3E"/>
    <w:rsid w:val="007B69FB"/>
    <w:rsid w:val="007C0978"/>
    <w:rsid w:val="007C3C73"/>
    <w:rsid w:val="007D5C08"/>
    <w:rsid w:val="007E55E2"/>
    <w:rsid w:val="007F11FD"/>
    <w:rsid w:val="0081060B"/>
    <w:rsid w:val="00821550"/>
    <w:rsid w:val="008353A5"/>
    <w:rsid w:val="008452C2"/>
    <w:rsid w:val="00846D3C"/>
    <w:rsid w:val="00896FFD"/>
    <w:rsid w:val="008A5D6A"/>
    <w:rsid w:val="008B4D11"/>
    <w:rsid w:val="008B6649"/>
    <w:rsid w:val="008C24C8"/>
    <w:rsid w:val="008C6A07"/>
    <w:rsid w:val="008D164B"/>
    <w:rsid w:val="008D16CF"/>
    <w:rsid w:val="008D59D6"/>
    <w:rsid w:val="008E19BD"/>
    <w:rsid w:val="008E20B2"/>
    <w:rsid w:val="008E3C72"/>
    <w:rsid w:val="008E5D13"/>
    <w:rsid w:val="008F0550"/>
    <w:rsid w:val="00901A42"/>
    <w:rsid w:val="00904937"/>
    <w:rsid w:val="00915901"/>
    <w:rsid w:val="00925B0E"/>
    <w:rsid w:val="00940674"/>
    <w:rsid w:val="009424EE"/>
    <w:rsid w:val="009629F7"/>
    <w:rsid w:val="0097022B"/>
    <w:rsid w:val="0097692F"/>
    <w:rsid w:val="00976DF2"/>
    <w:rsid w:val="009B184A"/>
    <w:rsid w:val="009B4306"/>
    <w:rsid w:val="009C1477"/>
    <w:rsid w:val="009E331C"/>
    <w:rsid w:val="00A00775"/>
    <w:rsid w:val="00A114B4"/>
    <w:rsid w:val="00A12030"/>
    <w:rsid w:val="00A1469C"/>
    <w:rsid w:val="00A40136"/>
    <w:rsid w:val="00A52E9B"/>
    <w:rsid w:val="00A60AD6"/>
    <w:rsid w:val="00A6352A"/>
    <w:rsid w:val="00A64A83"/>
    <w:rsid w:val="00A71C44"/>
    <w:rsid w:val="00A76369"/>
    <w:rsid w:val="00A8781E"/>
    <w:rsid w:val="00A926B5"/>
    <w:rsid w:val="00AA1E07"/>
    <w:rsid w:val="00AA41F5"/>
    <w:rsid w:val="00AB0880"/>
    <w:rsid w:val="00AD1D61"/>
    <w:rsid w:val="00AF3A41"/>
    <w:rsid w:val="00AF400A"/>
    <w:rsid w:val="00AF6317"/>
    <w:rsid w:val="00B02608"/>
    <w:rsid w:val="00B027CF"/>
    <w:rsid w:val="00B07D18"/>
    <w:rsid w:val="00B11852"/>
    <w:rsid w:val="00B134E4"/>
    <w:rsid w:val="00B27441"/>
    <w:rsid w:val="00B305D8"/>
    <w:rsid w:val="00B36C3A"/>
    <w:rsid w:val="00B4062B"/>
    <w:rsid w:val="00B5065F"/>
    <w:rsid w:val="00B707D4"/>
    <w:rsid w:val="00B71CB2"/>
    <w:rsid w:val="00BA07E5"/>
    <w:rsid w:val="00BA3914"/>
    <w:rsid w:val="00BD01A6"/>
    <w:rsid w:val="00BD4E94"/>
    <w:rsid w:val="00BD6CC8"/>
    <w:rsid w:val="00C0468A"/>
    <w:rsid w:val="00C34272"/>
    <w:rsid w:val="00C379EE"/>
    <w:rsid w:val="00C41B35"/>
    <w:rsid w:val="00C45D0C"/>
    <w:rsid w:val="00C5168E"/>
    <w:rsid w:val="00C52768"/>
    <w:rsid w:val="00C54456"/>
    <w:rsid w:val="00C56395"/>
    <w:rsid w:val="00C569A6"/>
    <w:rsid w:val="00C629A2"/>
    <w:rsid w:val="00C70DF6"/>
    <w:rsid w:val="00C872BD"/>
    <w:rsid w:val="00C94E6A"/>
    <w:rsid w:val="00CB77EE"/>
    <w:rsid w:val="00CC4A14"/>
    <w:rsid w:val="00CD15B9"/>
    <w:rsid w:val="00D113B7"/>
    <w:rsid w:val="00D234D3"/>
    <w:rsid w:val="00D251E9"/>
    <w:rsid w:val="00D25A15"/>
    <w:rsid w:val="00D276E4"/>
    <w:rsid w:val="00D31151"/>
    <w:rsid w:val="00D37D80"/>
    <w:rsid w:val="00D40991"/>
    <w:rsid w:val="00D475D9"/>
    <w:rsid w:val="00D7492F"/>
    <w:rsid w:val="00D86741"/>
    <w:rsid w:val="00DA2DA6"/>
    <w:rsid w:val="00DA54DE"/>
    <w:rsid w:val="00DB5993"/>
    <w:rsid w:val="00DD4761"/>
    <w:rsid w:val="00DD72DF"/>
    <w:rsid w:val="00DF7D6E"/>
    <w:rsid w:val="00E203A5"/>
    <w:rsid w:val="00E570DF"/>
    <w:rsid w:val="00E85817"/>
    <w:rsid w:val="00E90176"/>
    <w:rsid w:val="00E927E9"/>
    <w:rsid w:val="00EB2CC0"/>
    <w:rsid w:val="00EC4E07"/>
    <w:rsid w:val="00ED2449"/>
    <w:rsid w:val="00ED4F17"/>
    <w:rsid w:val="00ED6002"/>
    <w:rsid w:val="00EE7055"/>
    <w:rsid w:val="00EF2DB7"/>
    <w:rsid w:val="00EF3B7B"/>
    <w:rsid w:val="00F04DCA"/>
    <w:rsid w:val="00F05B7D"/>
    <w:rsid w:val="00F07850"/>
    <w:rsid w:val="00F12C26"/>
    <w:rsid w:val="00F14DB6"/>
    <w:rsid w:val="00F157DA"/>
    <w:rsid w:val="00F35C83"/>
    <w:rsid w:val="00F370F8"/>
    <w:rsid w:val="00F41606"/>
    <w:rsid w:val="00F6341F"/>
    <w:rsid w:val="00F773DF"/>
    <w:rsid w:val="00F91E45"/>
    <w:rsid w:val="00F96AB5"/>
    <w:rsid w:val="00FA1EA4"/>
    <w:rsid w:val="00FA40D7"/>
    <w:rsid w:val="00FA5D9D"/>
    <w:rsid w:val="00FB3AF2"/>
    <w:rsid w:val="00FB4248"/>
    <w:rsid w:val="00FB4C6F"/>
    <w:rsid w:val="00FD01B0"/>
    <w:rsid w:val="00FD3500"/>
    <w:rsid w:val="00FE1EC8"/>
    <w:rsid w:val="00FE5D92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customStyle="1" w:styleId="Teksttreci">
    <w:name w:val="Tekst treści_"/>
    <w:basedOn w:val="Domylnaczcionkaakapitu"/>
    <w:link w:val="Teksttreci0"/>
    <w:rsid w:val="00137BA2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7BA2"/>
    <w:pPr>
      <w:widowControl w:val="0"/>
      <w:shd w:val="clear" w:color="auto" w:fill="FFFFFF"/>
      <w:spacing w:after="280" w:line="334" w:lineRule="auto"/>
      <w:jc w:val="both"/>
    </w:pPr>
    <w:rPr>
      <w:rFonts w:ascii="Georgia" w:eastAsia="Georgia" w:hAnsi="Georgia" w:cs="Georgia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nhideWhenUsed/>
    <w:rsid w:val="00137BA2"/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7BA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91CF0"/>
    <w:pPr>
      <w:ind w:left="720"/>
      <w:contextualSpacing/>
    </w:pPr>
  </w:style>
  <w:style w:type="paragraph" w:customStyle="1" w:styleId="Default">
    <w:name w:val="Default"/>
    <w:rsid w:val="00191C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ethiglight">
    <w:name w:val="berethiglight"/>
    <w:rsid w:val="00191CF0"/>
  </w:style>
  <w:style w:type="paragraph" w:customStyle="1" w:styleId="parinner">
    <w:name w:val="parinner"/>
    <w:basedOn w:val="Normalny"/>
    <w:rsid w:val="00AA41F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highlight">
    <w:name w:val="highlight"/>
    <w:basedOn w:val="Domylnaczcionkaakapitu"/>
    <w:rsid w:val="00A00775"/>
  </w:style>
  <w:style w:type="paragraph" w:styleId="NormalnyWeb">
    <w:name w:val="Normal (Web)"/>
    <w:basedOn w:val="Normalny"/>
    <w:uiPriority w:val="99"/>
    <w:unhideWhenUsed/>
    <w:rsid w:val="005F60F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uiPriority w:val="22"/>
    <w:qFormat/>
    <w:rsid w:val="005F60F3"/>
    <w:rPr>
      <w:b/>
      <w:bCs/>
    </w:rPr>
  </w:style>
  <w:style w:type="table" w:customStyle="1" w:styleId="TableGrid">
    <w:name w:val="TableGrid"/>
    <w:rsid w:val="000758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7740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64DE-A1DE-400F-A152-9C3EC2E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3227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Popławska Marta</cp:lastModifiedBy>
  <cp:revision>5</cp:revision>
  <cp:lastPrinted>2022-01-11T08:11:00Z</cp:lastPrinted>
  <dcterms:created xsi:type="dcterms:W3CDTF">2022-01-12T14:30:00Z</dcterms:created>
  <dcterms:modified xsi:type="dcterms:W3CDTF">2022-01-19T08:20:00Z</dcterms:modified>
</cp:coreProperties>
</file>