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22" w:rsidRPr="00F47344" w:rsidRDefault="00BB17EA" w:rsidP="003D0527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REQUEST FOR QUOT</w:t>
      </w:r>
      <w:r w:rsid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ATION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444A22" w:rsidRPr="00F47344" w:rsidRDefault="00BB17EA" w:rsidP="003D0527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="003E6693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26 </w:t>
      </w:r>
      <w:r w:rsidR="00BE3A19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February 2024 </w:t>
      </w:r>
    </w:p>
    <w:p w:rsidR="00D04DF5" w:rsidRPr="00F47344" w:rsidRDefault="00D04DF5" w:rsidP="003D0527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44A22" w:rsidRPr="00F47344" w:rsidRDefault="00F47344" w:rsidP="003D052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Contracting Authority</w:t>
      </w:r>
      <w:r w:rsidR="00BB17E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444A22" w:rsidRPr="00F47344" w:rsidRDefault="00F47344" w:rsidP="003D05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91523253"/>
      <w:proofErr w:type="spellStart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Rządowa</w:t>
      </w:r>
      <w:proofErr w:type="spellEnd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Agencja</w:t>
      </w:r>
      <w:proofErr w:type="spellEnd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Rezerw</w:t>
      </w:r>
      <w:proofErr w:type="spellEnd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Strategicznych</w:t>
      </w:r>
      <w:proofErr w:type="spellEnd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(Governmental Strategic Reserves Agency)</w:t>
      </w:r>
      <w:r w:rsidR="00BB17E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444A22" w:rsidRPr="00F47344" w:rsidRDefault="00BB17EA" w:rsidP="003D052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47344">
        <w:rPr>
          <w:rFonts w:ascii="Times New Roman" w:hAnsi="Times New Roman" w:cs="Times New Roman"/>
          <w:sz w:val="24"/>
          <w:szCs w:val="24"/>
          <w:lang w:val="en-GB"/>
        </w:rPr>
        <w:t>Grzybowska</w:t>
      </w:r>
      <w:proofErr w:type="spellEnd"/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, 00-844 Wars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:rsidR="00444A22" w:rsidRPr="00F47344" w:rsidRDefault="00F47344" w:rsidP="003D052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mail: </w:t>
      </w:r>
      <w:hyperlink r:id="rId7" w:history="1">
        <w:r w:rsidR="00BB17EA" w:rsidRPr="00F47344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kancelaria@rars.gov.pl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telephone: </w:t>
      </w:r>
      <w:r w:rsidR="00BB17EA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+48 22 36 09 100</w:t>
      </w:r>
    </w:p>
    <w:p w:rsidR="00A830B7" w:rsidRPr="00F47344" w:rsidRDefault="00A830B7" w:rsidP="003D052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4A22" w:rsidRPr="00F47344" w:rsidRDefault="00BB17EA" w:rsidP="003D052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 person:</w:t>
      </w:r>
    </w:p>
    <w:p w:rsidR="00444A22" w:rsidRPr="00F47344" w:rsidRDefault="00BB17EA" w:rsidP="003D0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The authorised contact person for the Request for Quot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48345D" w:rsidRPr="00F4734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47344" w:rsidRDefault="00BE3A19" w:rsidP="003D052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Ms Krystyna </w:t>
      </w:r>
      <w:proofErr w:type="spellStart"/>
      <w:r w:rsidRPr="00F4734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Sikorska</w:t>
      </w:r>
      <w:proofErr w:type="spellEnd"/>
      <w:r w:rsidR="00F47344" w:rsidRPr="00F4734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48345D" w:rsidRPr="00F4734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F47344" w:rsidRPr="00F47344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International Affairs Representative of the President</w:t>
      </w:r>
      <w:r w:rsidR="00BB17EA" w:rsidRPr="00F4734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</w:p>
    <w:p w:rsidR="00444A22" w:rsidRPr="00F47344" w:rsidRDefault="00F47344" w:rsidP="003D052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F06F2F" w:rsidRPr="00F47344">
        <w:rPr>
          <w:rFonts w:ascii="Times New Roman" w:hAnsi="Times New Roman" w:cs="Times New Roman"/>
          <w:color w:val="000000"/>
          <w:sz w:val="24"/>
          <w:szCs w:val="24"/>
          <w:lang w:val="en-GB"/>
        </w:rPr>
        <w:t>mail:</w:t>
      </w:r>
      <w:r w:rsidR="00A2268A" w:rsidRPr="00F4734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8" w:history="1">
        <w:r w:rsidRPr="00D5250D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dw@rars.gov.pl</w:t>
        </w:r>
      </w:hyperlink>
      <w:r w:rsidR="005B136B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F06F2F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telephone: </w:t>
      </w:r>
      <w:r w:rsidR="00F06F2F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+48 22 36 09 </w:t>
      </w:r>
      <w:r w:rsidR="00037F99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160</w:t>
      </w:r>
      <w:r w:rsidR="00A2268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5429D" w:rsidRPr="00F47344" w:rsidRDefault="0065429D" w:rsidP="003D052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44A22" w:rsidRPr="00F47344" w:rsidRDefault="00BB17EA" w:rsidP="003D052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Subject of the Request for Quotation:</w:t>
      </w:r>
    </w:p>
    <w:p w:rsidR="00444A22" w:rsidRPr="00F47344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4734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Contracting Authority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is requesting a quot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for the estimated value of the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planned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contract for the </w:t>
      </w:r>
      <w:r w:rsidR="00666B16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provision of </w:t>
      </w:r>
      <w:r w:rsidR="002E6A1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non-scheduled air transport </w:t>
      </w:r>
      <w:r w:rsidR="00666B16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services</w:t>
      </w:r>
      <w:r w:rsidR="002E6A1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with the continued availability and readiness to perform air transport of two multi-purpose aircraft and one aircraft for medical operations </w:t>
      </w:r>
      <w:r w:rsidR="00995001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(MEDEVAC), </w:t>
      </w:r>
      <w:r w:rsidR="002E6A1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together with the </w:t>
      </w:r>
      <w:r w:rsidR="00401F18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provision of a </w:t>
      </w:r>
      <w:r w:rsidR="002E6A1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medical equipment storage </w:t>
      </w:r>
      <w:r w:rsidR="00401F18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service </w:t>
      </w:r>
      <w:r w:rsidR="002E6A1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at the airport</w:t>
      </w:r>
      <w:r w:rsidR="002E6A1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44A22" w:rsidRPr="00F47344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A detailed descrip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tion of the subject matter of the planned contract for the provision of </w:t>
      </w:r>
      <w:r w:rsidR="008A5A5A" w:rsidRPr="00F47344">
        <w:rPr>
          <w:rFonts w:ascii="Times New Roman" w:hAnsi="Times New Roman" w:cs="Times New Roman"/>
          <w:sz w:val="24"/>
          <w:szCs w:val="24"/>
          <w:lang w:val="en-GB"/>
        </w:rPr>
        <w:t>air transport services</w:t>
      </w:r>
      <w:r w:rsidR="00666B16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including the parameters and technical requirements of the </w:t>
      </w:r>
      <w:r w:rsidR="00401F18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aircraft, </w:t>
      </w:r>
      <w:r w:rsidR="00B11FB6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is attached as </w:t>
      </w:r>
      <w:r w:rsidR="00B22197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Appendix </w:t>
      </w:r>
      <w:r w:rsidR="008A5A5A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1A </w:t>
      </w:r>
      <w:r w:rsidR="00B22197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to the Request for Quotation</w:t>
      </w:r>
      <w:r w:rsidR="00B22197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. A detailed description of the subject matter of the planned contract for the provision of </w:t>
      </w:r>
      <w:r w:rsidR="008A5A5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medical equipment storage services at the airport, including a list of medical equipment, is attached as </w:t>
      </w:r>
      <w:r w:rsidR="008A5A5A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Appendix 1B to the Request for Quotation</w:t>
      </w:r>
      <w:r w:rsidR="008A5A5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44A22" w:rsidRPr="00F47344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47344">
        <w:rPr>
          <w:rFonts w:ascii="Times New Roman" w:hAnsi="Times New Roman" w:cs="Times New Roman"/>
          <w:sz w:val="24"/>
          <w:szCs w:val="24"/>
          <w:lang w:val="en-GB"/>
        </w:rPr>
        <w:t>CPV</w:t>
      </w:r>
      <w:proofErr w:type="spellEnd"/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codes:</w:t>
      </w:r>
    </w:p>
    <w:p w:rsidR="00444A22" w:rsidRPr="00F47344" w:rsidRDefault="00BB17EA" w:rsidP="003D0527">
      <w:pPr>
        <w:tabs>
          <w:tab w:val="left" w:pos="1875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60420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000-8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Non-scheduled air transport services </w:t>
      </w:r>
    </w:p>
    <w:p w:rsidR="00444A22" w:rsidRPr="00F47344" w:rsidRDefault="00BB17EA" w:rsidP="003D0527">
      <w:pPr>
        <w:tabs>
          <w:tab w:val="left" w:pos="1875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63120000-6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Storage and warehousing services</w:t>
      </w:r>
    </w:p>
    <w:p w:rsidR="00444A22" w:rsidRPr="00F47344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Deadline for </w:t>
      </w:r>
      <w:r w:rsidR="00B22197" w:rsidRPr="00F47344">
        <w:rPr>
          <w:rFonts w:ascii="Times New Roman" w:hAnsi="Times New Roman" w:cs="Times New Roman"/>
          <w:sz w:val="24"/>
          <w:szCs w:val="24"/>
          <w:lang w:val="en-GB"/>
        </w:rPr>
        <w:t>completion of the subject of the planned contract</w:t>
      </w:r>
      <w:r w:rsidR="00CC1CB7" w:rsidRPr="00F4734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F47344" w:rsidP="003D0527">
      <w:pPr>
        <w:pStyle w:val="Akapitzlist"/>
        <w:numPr>
          <w:ilvl w:val="0"/>
          <w:numId w:val="25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aintaining the availability and readiness of aircraft for air services - from the date </w:t>
      </w:r>
      <w:r w:rsidR="00B11FB6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of award of the 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contract up to and </w:t>
      </w:r>
      <w:r w:rsidR="00BB17E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including 30 September 2026</w:t>
      </w:r>
      <w:r w:rsidR="00371F40" w:rsidRPr="00F47344">
        <w:rPr>
          <w:rFonts w:ascii="Times New Roman" w:hAnsi="Times New Roman" w:cs="Times New Roman"/>
          <w:sz w:val="24"/>
          <w:szCs w:val="24"/>
          <w:lang w:val="en-GB"/>
        </w:rPr>
        <w:t>, subject to the following interme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371F40" w:rsidRPr="00F47344">
        <w:rPr>
          <w:rFonts w:ascii="Times New Roman" w:hAnsi="Times New Roman" w:cs="Times New Roman"/>
          <w:sz w:val="24"/>
          <w:szCs w:val="24"/>
          <w:lang w:val="en-GB"/>
        </w:rPr>
        <w:t>diate dates: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tabs>
          <w:tab w:val="left" w:pos="1875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preparation of multipurpose aircraft for air services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three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66612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166612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months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from award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contract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4A22" w:rsidRPr="00F47344" w:rsidRDefault="00F47344" w:rsidP="003D0527">
      <w:pPr>
        <w:pStyle w:val="Akapitzlist"/>
        <w:numPr>
          <w:ilvl w:val="2"/>
          <w:numId w:val="2"/>
        </w:numPr>
        <w:tabs>
          <w:tab w:val="left" w:pos="1875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reparation of the aircraft for medical operations </w:t>
      </w:r>
      <w:r w:rsidR="00995001" w:rsidRPr="00F47344">
        <w:rPr>
          <w:rFonts w:ascii="Times New Roman" w:hAnsi="Times New Roman" w:cs="Times New Roman"/>
          <w:sz w:val="24"/>
          <w:szCs w:val="24"/>
          <w:lang w:val="en-GB"/>
        </w:rPr>
        <w:t>(MEDEVAC)</w:t>
      </w:r>
      <w:r w:rsidR="00166612" w:rsidRPr="00F47344">
        <w:rPr>
          <w:rFonts w:ascii="Times New Roman" w:hAnsi="Times New Roman" w:cs="Times New Roman"/>
          <w:sz w:val="24"/>
          <w:szCs w:val="24"/>
          <w:lang w:val="en-GB"/>
        </w:rPr>
        <w:t>, including obtaining the required certification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66612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seven (</w:t>
      </w:r>
      <w:r w:rsidR="00166612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166612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B17E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months 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371F40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date of 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>award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>the contract</w:t>
      </w:r>
      <w:r w:rsidR="00371F40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444A22" w:rsidRPr="00F47344" w:rsidRDefault="00BB17EA" w:rsidP="003D0527">
      <w:pPr>
        <w:pStyle w:val="Akapitzlist"/>
        <w:numPr>
          <w:ilvl w:val="0"/>
          <w:numId w:val="25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provision of air transport services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according to the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Contracting Authority’s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current demand, determined by the </w:t>
      </w:r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objectives of the project "Development and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aintenance of </w:t>
      </w:r>
      <w:proofErr w:type="spellStart"/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>rescEU</w:t>
      </w:r>
      <w:proofErr w:type="spellEnd"/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ransport and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Logistics</w:t>
      </w:r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apacities </w:t>
      </w:r>
      <w:r w:rsidR="00B11FB6" w:rsidRPr="00F47344">
        <w:rPr>
          <w:rFonts w:ascii="Times New Roman" w:hAnsi="Times New Roman" w:cs="Times New Roman"/>
          <w:sz w:val="24"/>
          <w:szCs w:val="24"/>
          <w:lang w:val="en-GB"/>
        </w:rPr>
        <w:t>in Poland</w:t>
      </w:r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EB6258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D2D2E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project number: 101105145, </w:t>
      </w:r>
      <w:r w:rsidR="00CD35F4" w:rsidRPr="00F4734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implemented within the framework of the EU Civil Protection Mechanism 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>(hereinafter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 xml:space="preserve"> referred to as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44A22" w:rsidRPr="00F47344" w:rsidRDefault="00F47344" w:rsidP="003D0527">
      <w:pPr>
        <w:pStyle w:val="Akapitzlist"/>
        <w:numPr>
          <w:ilvl w:val="0"/>
          <w:numId w:val="25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>rovision of the medical equipment storage service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3A56" w:rsidRPr="00F47344">
        <w:rPr>
          <w:rFonts w:ascii="Times New Roman" w:hAnsi="Times New Roman" w:cs="Times New Roman"/>
          <w:sz w:val="24"/>
          <w:szCs w:val="24"/>
          <w:lang w:val="en-GB"/>
        </w:rPr>
        <w:t>from the readiness of the aircraft for MEDEVAC operations, but no later than the eighth month after the award</w:t>
      </w:r>
      <w:r>
        <w:rPr>
          <w:rFonts w:ascii="Times New Roman" w:hAnsi="Times New Roman" w:cs="Times New Roman"/>
          <w:sz w:val="24"/>
          <w:szCs w:val="24"/>
          <w:lang w:val="en-GB"/>
        </w:rPr>
        <w:t>ing of</w:t>
      </w:r>
      <w:r w:rsidR="00543A56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the public contract to the Contractor, 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up to and </w:t>
      </w:r>
      <w:r w:rsidR="00BB17EA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including 30 September 2026</w:t>
      </w:r>
      <w:r w:rsidR="00166612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444A22" w:rsidRPr="00F47344" w:rsidRDefault="00F47344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Territory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D3C4E" w:rsidRPr="00F47344">
        <w:rPr>
          <w:rFonts w:ascii="Times New Roman" w:hAnsi="Times New Roman" w:cs="Times New Roman"/>
          <w:sz w:val="24"/>
          <w:szCs w:val="24"/>
          <w:lang w:val="en-GB"/>
        </w:rPr>
        <w:t>performance of the subject of the planned contract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0"/>
          <w:numId w:val="24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maintaining the availability and readiness of aircraft to perform air transport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the territory of the Republic of Poland, </w:t>
      </w:r>
      <w:r w:rsidR="00632499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subject to the need to 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ensure the </w:t>
      </w:r>
      <w:r w:rsidR="00632499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stationing of an </w:t>
      </w:r>
      <w:r w:rsidR="00DC7B75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aircraft </w:t>
      </w:r>
      <w:r w:rsidR="00166612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for MEDEVAC medical operations </w:t>
      </w:r>
      <w:r w:rsidR="00DC7B75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at Warsaw airport (justified by the location of </w:t>
      </w:r>
      <w:r w:rsidR="00166612" w:rsidRPr="00F47344">
        <w:rPr>
          <w:rFonts w:ascii="Times New Roman" w:hAnsi="Times New Roman" w:cs="Times New Roman"/>
          <w:sz w:val="24"/>
          <w:szCs w:val="24"/>
          <w:lang w:val="en-GB"/>
        </w:rPr>
        <w:t>medical</w:t>
      </w:r>
      <w:r w:rsidR="00DC7B75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personnel)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44A22" w:rsidRPr="00F47344" w:rsidRDefault="00BB17EA" w:rsidP="003D0527">
      <w:pPr>
        <w:pStyle w:val="Akapitzlist"/>
        <w:numPr>
          <w:ilvl w:val="0"/>
          <w:numId w:val="24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air transport services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due to the 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>specific nature of the Project goals, the Contracting Authority is unable to specify specific destinations for air transport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505B3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he Contracting Authority stipulates that air transport services may be provided in any country </w:t>
      </w:r>
      <w:r w:rsidR="00766EC6" w:rsidRPr="00F47344">
        <w:rPr>
          <w:rFonts w:ascii="Times New Roman" w:hAnsi="Times New Roman" w:cs="Times New Roman"/>
          <w:sz w:val="24"/>
          <w:szCs w:val="24"/>
          <w:lang w:val="en-GB"/>
        </w:rPr>
        <w:t>located within a radius of 4,000 km from the City of Warsaw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766EC6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4A22" w:rsidRPr="00F47344" w:rsidRDefault="00BB17EA" w:rsidP="003D0527">
      <w:pPr>
        <w:pStyle w:val="Akapitzlist"/>
        <w:numPr>
          <w:ilvl w:val="0"/>
          <w:numId w:val="24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medical equipment storage services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the area of the airport on which the </w:t>
      </w:r>
      <w:r w:rsidR="00766EC6" w:rsidRPr="00F47344">
        <w:rPr>
          <w:rFonts w:ascii="Times New Roman" w:hAnsi="Times New Roman" w:cs="Times New Roman"/>
          <w:sz w:val="24"/>
          <w:szCs w:val="24"/>
          <w:lang w:val="en-GB"/>
        </w:rPr>
        <w:t>aircraft for MEDEVAC medical operations are based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44A22" w:rsidRPr="00F47344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Payment terms</w:t>
      </w:r>
      <w:r w:rsidR="00DD3C4E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76C86" w:rsidRPr="00F47344">
        <w:rPr>
          <w:rFonts w:ascii="Times New Roman" w:hAnsi="Times New Roman" w:cs="Times New Roman"/>
          <w:sz w:val="24"/>
          <w:szCs w:val="24"/>
          <w:lang w:val="en-GB"/>
        </w:rPr>
        <w:t>payment will be made individually for each type of service covered by the planned contract, i.e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76C86" w:rsidRPr="00F4734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0"/>
          <w:numId w:val="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for the continued availability and readiness of aircraft to carry out air services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monthly settlement, payable in arrears, within 30 days of submission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of a correctly issued VAT invoice (issued by the 10</w:t>
      </w:r>
      <w:r w:rsidRPr="00F473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 xml:space="preserve"> day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of the following month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4734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344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="00F47344">
        <w:rPr>
          <w:rFonts w:ascii="Times New Roman" w:hAnsi="Times New Roman" w:cs="Times New Roman"/>
          <w:sz w:val="24"/>
          <w:szCs w:val="24"/>
          <w:lang w:val="en-GB"/>
        </w:rPr>
        <w:t>Contracting Authority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4A22" w:rsidRPr="00F47344" w:rsidRDefault="00BB17EA" w:rsidP="003D0527">
      <w:pPr>
        <w:pStyle w:val="Akapitzlist"/>
        <w:numPr>
          <w:ilvl w:val="0"/>
          <w:numId w:val="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for the air transport service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hourly billing (block hours), payable within 30 days of the date of submission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of a correctly issued VAT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invoice (issued after the completed operation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B2E57" w:rsidRPr="00FB2E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2E57" w:rsidRPr="00F47344">
        <w:rPr>
          <w:rFonts w:ascii="Times New Roman" w:hAnsi="Times New Roman" w:cs="Times New Roman"/>
          <w:sz w:val="24"/>
          <w:szCs w:val="24"/>
          <w:lang w:val="en-GB"/>
        </w:rPr>
        <w:t>to the Contracting Authority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4A22" w:rsidRPr="00F47344" w:rsidRDefault="00BB17EA" w:rsidP="003D0527">
      <w:pPr>
        <w:pStyle w:val="Akapitzlist"/>
        <w:numPr>
          <w:ilvl w:val="0"/>
          <w:numId w:val="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for the provision of medical equipment storage services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monthly settlement, payable in arrears within 30 days of the date of submission to the Ordering Party of a correctly issued VAT invoice (issued by t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he 10th of the following month). </w:t>
      </w:r>
    </w:p>
    <w:p w:rsidR="00444A22" w:rsidRPr="00F47344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B2E57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Contracting Authority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does not provide for </w:t>
      </w:r>
      <w:r w:rsidR="00FB411A" w:rsidRPr="00F47344">
        <w:rPr>
          <w:rFonts w:ascii="Times New Roman" w:hAnsi="Times New Roman" w:cs="Times New Roman"/>
          <w:sz w:val="24"/>
          <w:szCs w:val="24"/>
          <w:lang w:val="en-GB"/>
        </w:rPr>
        <w:t>advance payments</w:t>
      </w:r>
      <w:r w:rsidR="00DD3C4E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B2E57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B2E57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Contracting Authority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provides for a performance </w:t>
      </w:r>
      <w:r w:rsidR="00766EC6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bond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in the amount of </w:t>
      </w:r>
      <w:r w:rsidR="00766EC6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2% of the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total gross remuneration for the provision of services to maintain the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availability and readiness of aircraft for air transport. </w:t>
      </w:r>
    </w:p>
    <w:p w:rsidR="00444A22" w:rsidRPr="00FB2E57" w:rsidRDefault="00BB17EA" w:rsidP="003D0527">
      <w:pPr>
        <w:pStyle w:val="Akapitzlist"/>
        <w:numPr>
          <w:ilvl w:val="0"/>
          <w:numId w:val="1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2E57">
        <w:rPr>
          <w:rFonts w:ascii="Times New Roman" w:hAnsi="Times New Roman" w:cs="Times New Roman"/>
          <w:sz w:val="24"/>
          <w:szCs w:val="24"/>
          <w:lang w:val="en-GB"/>
        </w:rPr>
        <w:t>Planned date of award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ing the</w:t>
      </w:r>
      <w:r w:rsidRPr="00FB2E57">
        <w:rPr>
          <w:rFonts w:ascii="Times New Roman" w:hAnsi="Times New Roman" w:cs="Times New Roman"/>
          <w:sz w:val="24"/>
          <w:szCs w:val="24"/>
          <w:lang w:val="en-GB"/>
        </w:rPr>
        <w:t xml:space="preserve"> public contract</w:t>
      </w:r>
      <w:bookmarkEnd w:id="0"/>
      <w:r w:rsidR="00DD3C4E" w:rsidRPr="00FB2E57">
        <w:rPr>
          <w:rFonts w:ascii="Times New Roman" w:hAnsi="Times New Roman" w:cs="Times New Roman"/>
          <w:sz w:val="24"/>
          <w:szCs w:val="24"/>
          <w:lang w:val="en-GB"/>
        </w:rPr>
        <w:t>: March 2024</w:t>
      </w:r>
      <w:r w:rsidR="00FB411A" w:rsidRPr="00FB2E5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D0527" w:rsidRDefault="003D0527" w:rsidP="003D0527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B411A" w:rsidRPr="00F47344" w:rsidRDefault="00FB411A" w:rsidP="003D0527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4A22" w:rsidRPr="00F47344" w:rsidRDefault="00FB2E57" w:rsidP="003D052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Price offers</w:t>
      </w:r>
      <w:r w:rsidR="00BB17EA" w:rsidRPr="00F47344">
        <w:rPr>
          <w:rFonts w:ascii="Times New Roman" w:hAnsi="Times New Roman"/>
          <w:b/>
          <w:bCs/>
          <w:sz w:val="24"/>
          <w:szCs w:val="24"/>
          <w:lang w:val="en-GB"/>
        </w:rPr>
        <w:t xml:space="preserve"> of contractors </w:t>
      </w:r>
    </w:p>
    <w:p w:rsidR="00444A22" w:rsidRDefault="00BB17EA" w:rsidP="003D0527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Please send your quotation for the subject of the planned order 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– to this end, please complete the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form 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Appendix No. </w:t>
      </w:r>
      <w:r w:rsidR="004A4FFD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to the Request for Quotation </w:t>
      </w:r>
      <w:r w:rsidR="00374A4D" w:rsidRPr="00F47344">
        <w:rPr>
          <w:rFonts w:ascii="Times New Roman" w:hAnsi="Times New Roman" w:cs="Times New Roman"/>
          <w:sz w:val="24"/>
          <w:szCs w:val="24"/>
          <w:lang w:val="en-GB"/>
        </w:rPr>
        <w:t>- "Price Form"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, either electro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nically or as a scan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ned printout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to the </w:t>
      </w:r>
      <w:r w:rsidR="00083645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email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083645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9" w:history="1">
        <w:r w:rsidR="00FB2E57" w:rsidRPr="00D5250D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dw@rars.gov.pl</w:t>
        </w:r>
      </w:hyperlink>
      <w:r w:rsidR="00083645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 xml:space="preserve"> – on </w:t>
      </w:r>
      <w:r w:rsidR="00E87DB2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31 </w:t>
      </w:r>
      <w:r w:rsidR="00766EC6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March </w:t>
      </w:r>
      <w:r w:rsidR="004A4FFD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2024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 xml:space="preserve"> at the latest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D0527" w:rsidRDefault="003D0527" w:rsidP="003D052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4A22" w:rsidRPr="00F47344" w:rsidRDefault="00BB17EA" w:rsidP="003D0527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 xml:space="preserve">price offer for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subject matter of the planned contract should </w:t>
      </w:r>
      <w:r w:rsidR="003A0871" w:rsidRPr="00F47344">
        <w:rPr>
          <w:rFonts w:ascii="Times New Roman" w:hAnsi="Times New Roman" w:cs="Times New Roman"/>
          <w:sz w:val="24"/>
          <w:szCs w:val="24"/>
          <w:lang w:val="en-GB"/>
        </w:rPr>
        <w:t>include: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a monthly remuneration for the provision</w:t>
      </w:r>
      <w:r w:rsidR="003A0871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of services to maintain the </w:t>
      </w: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availability and readiness of aircraft to carry out air </w:t>
      </w:r>
      <w:r w:rsidR="003A0871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services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including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in particular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the costs of adequate aircraft preparation</w:t>
      </w:r>
      <w:r w:rsidR="00DC4B2E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including </w:t>
      </w:r>
      <w:r w:rsidR="00962D92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functional preparation </w:t>
      </w:r>
      <w:r w:rsidR="00DC4B2E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(adaptation of aircraft to dedicated functions, in particular for medical operations), </w:t>
      </w:r>
    </w:p>
    <w:p w:rsidR="00444A22" w:rsidRPr="00F47344" w:rsidRDefault="00BB17EA" w:rsidP="003D052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the cost of regular aircraft maintenance and inspections,</w:t>
      </w:r>
    </w:p>
    <w:p w:rsidR="00444A22" w:rsidRPr="00F47344" w:rsidRDefault="00BB17EA" w:rsidP="003D052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cost of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insurance</w:t>
      </w:r>
      <w:r w:rsidR="001D6759" w:rsidRPr="00F4734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carrier liability, </w:t>
      </w:r>
    </w:p>
    <w:p w:rsidR="00444A22" w:rsidRPr="00F47344" w:rsidRDefault="00BB17EA" w:rsidP="003D052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aircraft personnel (pilots) 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civil liability, </w:t>
      </w:r>
    </w:p>
    <w:p w:rsidR="00444A22" w:rsidRPr="00F47344" w:rsidRDefault="00FB2E57" w:rsidP="003D052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ersonal 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accident </w:t>
      </w:r>
      <w:r>
        <w:rPr>
          <w:rFonts w:ascii="Times New Roman" w:hAnsi="Times New Roman" w:cs="Times New Roman"/>
          <w:sz w:val="24"/>
          <w:szCs w:val="24"/>
          <w:lang w:val="en-GB"/>
        </w:rPr>
        <w:t>insurance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for passengers, including the </w:t>
      </w:r>
      <w:r>
        <w:rPr>
          <w:rFonts w:ascii="Times New Roman" w:hAnsi="Times New Roman" w:cs="Times New Roman"/>
          <w:sz w:val="24"/>
          <w:szCs w:val="24"/>
          <w:lang w:val="en-GB"/>
        </w:rPr>
        <w:t>Contracting Authority’s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medical staff, </w:t>
      </w:r>
    </w:p>
    <w:p w:rsidR="00444A22" w:rsidRPr="00F47344" w:rsidRDefault="00BB17EA" w:rsidP="003D052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goods, including medical equipment carried on board aircraft, </w:t>
      </w:r>
    </w:p>
    <w:p w:rsidR="00444A22" w:rsidRPr="00F47344" w:rsidRDefault="00BB17EA" w:rsidP="003D052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cost of adapting aircraft to the type of operation being performed (reconfiguration), </w:t>
      </w:r>
    </w:p>
    <w:p w:rsidR="00444A22" w:rsidRPr="00F47344" w:rsidRDefault="00BB17EA" w:rsidP="003D052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costs of required organi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>sational training (two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training courses), </w:t>
      </w:r>
    </w:p>
    <w:p w:rsidR="00444A22" w:rsidRPr="00F47344" w:rsidRDefault="00BB17EA" w:rsidP="003D052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costs of ensuring that qualified crew (air and ground crew) are ready for air transport, 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hourly remuneration (block hour) for the provision of </w:t>
      </w:r>
      <w:r w:rsidR="00456ADB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air </w:t>
      </w: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transport services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monthly remuneration for the provision of m</w:t>
      </w: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>edical equipment storage services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22190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</w:p>
    <w:p w:rsidR="00444A22" w:rsidRPr="00F47344" w:rsidRDefault="00BB17EA" w:rsidP="003D0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covering the </w:t>
      </w:r>
      <w:r w:rsidR="00D60D49" w:rsidRPr="00F47344">
        <w:rPr>
          <w:rFonts w:ascii="Times New Roman" w:hAnsi="Times New Roman" w:cs="Times New Roman"/>
          <w:sz w:val="24"/>
          <w:szCs w:val="24"/>
          <w:lang w:val="en-GB"/>
        </w:rPr>
        <w:t>cost of insuring medical equipment for a sum assured of not less than</w:t>
      </w:r>
      <w:r w:rsidR="00FB2E57">
        <w:rPr>
          <w:rFonts w:ascii="Times New Roman" w:hAnsi="Times New Roman" w:cs="Times New Roman"/>
          <w:sz w:val="24"/>
          <w:szCs w:val="24"/>
          <w:lang w:val="en-GB"/>
        </w:rPr>
        <w:t xml:space="preserve"> a half of </w:t>
      </w:r>
      <w:r w:rsidR="00D60D49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value of the medical equipment, 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remuneration</w:t>
      </w: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for </w:t>
      </w:r>
      <w:r w:rsidR="006908FE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additional </w:t>
      </w:r>
      <w:r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organisational </w:t>
      </w:r>
      <w:r w:rsidR="006908FE" w:rsidRPr="00F4734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training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(remuneration under the right of option</w:t>
      </w:r>
      <w:r w:rsidR="006908FE" w:rsidRPr="00F47344">
        <w:rPr>
          <w:rFonts w:ascii="Times New Roman" w:hAnsi="Times New Roman" w:cs="Times New Roman"/>
          <w:sz w:val="24"/>
          <w:szCs w:val="24"/>
          <w:lang w:val="en-GB"/>
        </w:rPr>
        <w:t>, training in addition to the two training courses included in the basic contract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C726B8" w:rsidRPr="00F47344" w:rsidRDefault="00C726B8" w:rsidP="003D05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44A22" w:rsidRPr="00F47344" w:rsidRDefault="00BB17EA" w:rsidP="003D052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Other information:</w:t>
      </w:r>
    </w:p>
    <w:p w:rsidR="00444A22" w:rsidRPr="00F47344" w:rsidRDefault="00BB17EA" w:rsidP="003D0527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part of the planned procurement, the 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t>Contracting Authority</w:t>
      </w:r>
      <w:r w:rsidR="0042094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does not </w:t>
      </w:r>
      <w:r w:rsidR="0041177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provide for the 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submission of </w:t>
      </w:r>
      <w:r w:rsidR="0041177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partial tenders</w:t>
      </w:r>
      <w:r w:rsidR="00944B8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does not provide for the submission of variants. </w:t>
      </w:r>
    </w:p>
    <w:p w:rsidR="00444A22" w:rsidRPr="00F47344" w:rsidRDefault="00BB17EA" w:rsidP="003D0527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3D0527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Contracting Authority </w:t>
      </w:r>
      <w:r w:rsidR="0042094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envisages exercising </w:t>
      </w:r>
      <w:r w:rsidR="00420944" w:rsidRPr="00F4734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the right of option </w:t>
      </w:r>
      <w:r w:rsidR="0042094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consisting in</w:t>
      </w:r>
      <w:r w:rsidR="003345E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commission the Contractor to conduct </w:t>
      </w:r>
      <w:r w:rsidR="00944B8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additional organisational training (over and above the two organisational training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session</w:t>
      </w:r>
      <w:r w:rsidR="00944B8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s required under the basic contract)</w:t>
      </w:r>
      <w:r w:rsidR="002420C3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, but not more than four training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session</w:t>
      </w:r>
      <w:r w:rsidR="002420C3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944B84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Employer will be able to exercise the right of option throughout the term of the public procurement contract </w:t>
      </w:r>
      <w:r w:rsidR="00A17096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by making a state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="00A17096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ment to the Contractor in writing or electronically. The date for carrying out the training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session</w:t>
      </w:r>
      <w:r w:rsidR="00A17096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(s) will be agreed by the Parties, with the proviso that it cannot be later than 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t>six (</w:t>
      </w:r>
      <w:r w:rsidR="00A17096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A17096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weeks from the date of submission of the declaration on exercising the right of option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444A22" w:rsidRPr="00F47344" w:rsidRDefault="00BB17EA" w:rsidP="003D0527">
      <w:pPr>
        <w:pStyle w:val="Akapitzlist"/>
        <w:numPr>
          <w:ilvl w:val="2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to commission the Contractor to provide additiona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 hours of air transport services, but not more than a further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400 flight hours </w:t>
      </w:r>
      <w:r w:rsidR="003D0527">
        <w:rPr>
          <w:rFonts w:ascii="Times New Roman" w:hAnsi="Times New Roman" w:cs="Times New Roman"/>
          <w:sz w:val="24"/>
          <w:szCs w:val="24"/>
          <w:lang w:val="en-GB"/>
        </w:rPr>
        <w:t>per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aircraft </w:t>
      </w:r>
      <w:r w:rsidR="003D0527">
        <w:rPr>
          <w:rFonts w:ascii="Times New Roman" w:hAnsi="Times New Roman" w:cs="Times New Roman"/>
          <w:sz w:val="24"/>
          <w:szCs w:val="24"/>
          <w:lang w:val="en-GB"/>
        </w:rPr>
        <w:t>per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year. 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The Contracting Authority will be able to exercise the right of option throughout the duration of the public contract by making a declaration to the Contract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or in writing or electronically.</w:t>
      </w:r>
    </w:p>
    <w:p w:rsidR="00444A22" w:rsidRPr="00F47344" w:rsidRDefault="00BB17EA" w:rsidP="003D0527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Within the framework of the planned contract </w:t>
      </w:r>
      <w:r w:rsidR="008A1227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(basic contract), 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Contracting Authority </w:t>
      </w:r>
      <w:r w:rsidR="008A1227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allows for the 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award of supplementary contracts referred to </w:t>
      </w:r>
      <w:r w:rsidR="008A1227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="003D052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Article 214(1) item</w:t>
      </w:r>
      <w:r w:rsidR="008A1227" w:rsidRPr="00F4734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420944" w:rsidRPr="00F4734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7 of </w:t>
      </w:r>
      <w:r w:rsidR="008A1227" w:rsidRPr="00F4734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the Act of 11 September 2019 Public Procurement Law</w:t>
      </w:r>
      <w:r w:rsidR="008A1227" w:rsidRPr="003D05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A1227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under the</w:t>
      </w:r>
      <w:bookmarkStart w:id="1" w:name="_GoBack"/>
      <w:bookmarkEnd w:id="1"/>
      <w:r w:rsidR="008A1227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following conditions:</w:t>
      </w:r>
    </w:p>
    <w:p w:rsidR="00444A22" w:rsidRPr="00F47344" w:rsidRDefault="003D0527" w:rsidP="003D0527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supplementary contract will consist in the provision of services similar to those covered by the basic contract, with the 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Contracting Authority 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reserving the possi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bility of awardin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 </w:t>
      </w:r>
      <w:r w:rsidR="00EC73C3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supplementary contracts including, at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</w:t>
      </w:r>
      <w:r w:rsidR="00EC73C3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discretion</w:t>
      </w:r>
      <w:r w:rsidR="00962D92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0"/>
          <w:numId w:val="31"/>
        </w:numPr>
        <w:spacing w:after="0" w:line="276" w:lineRule="auto"/>
        <w:ind w:left="1134" w:hanging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all services covered by the basic contract, </w:t>
      </w:r>
    </w:p>
    <w:p w:rsidR="00444A22" w:rsidRPr="00F47344" w:rsidRDefault="00BB17EA" w:rsidP="003D0527">
      <w:pPr>
        <w:pStyle w:val="Akapitzlist"/>
        <w:numPr>
          <w:ilvl w:val="0"/>
          <w:numId w:val="31"/>
        </w:numPr>
        <w:spacing w:after="0" w:line="276" w:lineRule="auto"/>
        <w:ind w:left="1134" w:hanging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only services for maintaining the availability and readiness of aircraft for air transport and air transport services, i.e. excluding the 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storage of medical equip</w:t>
      </w:r>
      <w:r w:rsidR="003D0527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ment, </w:t>
      </w:r>
    </w:p>
    <w:p w:rsidR="00444A22" w:rsidRPr="00F47344" w:rsidRDefault="003D0527" w:rsidP="003D0527">
      <w:pPr>
        <w:pStyle w:val="Akapitzlist"/>
        <w:numPr>
          <w:ilvl w:val="0"/>
          <w:numId w:val="31"/>
        </w:numPr>
        <w:spacing w:after="0" w:line="276" w:lineRule="auto"/>
        <w:ind w:left="1134" w:hanging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nly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services to maintain the availability and readiness of multipurpose air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craft (or one of them) and air transport services with these aircraft (or one of them), </w:t>
      </w:r>
    </w:p>
    <w:p w:rsidR="00444A22" w:rsidRPr="00F47344" w:rsidRDefault="003D0527" w:rsidP="003D0527">
      <w:pPr>
        <w:pStyle w:val="Akapitzlist"/>
        <w:numPr>
          <w:ilvl w:val="0"/>
          <w:numId w:val="31"/>
        </w:numPr>
        <w:spacing w:after="0" w:line="276" w:lineRule="auto"/>
        <w:ind w:left="1134" w:hanging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only the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to maintain the availability and readin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ess of the aircraft for medical operations and air transport services on that aircraft, possibly together with a medical equipment storage service, </w:t>
      </w:r>
    </w:p>
    <w:p w:rsidR="00444A22" w:rsidRPr="00F47344" w:rsidRDefault="00BB17EA" w:rsidP="003D0527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the total value of supplementary contracts shall not exceed 100% of the estimated value of the main contrac</w:t>
      </w:r>
      <w:r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t, </w:t>
      </w:r>
    </w:p>
    <w:p w:rsidR="00444A22" w:rsidRPr="00F47344" w:rsidRDefault="003D0527" w:rsidP="003D0527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supplementary contract will be awarded within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three (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years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awarding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B17EA" w:rsidRPr="00F47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basic contract, in accordance with the legal provisions, following an estimate of the value of the supplementary contract. </w:t>
      </w:r>
    </w:p>
    <w:p w:rsidR="004E1934" w:rsidRPr="00F47344" w:rsidRDefault="004E1934" w:rsidP="003D05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44A22" w:rsidRPr="00F47344" w:rsidRDefault="00BB17EA" w:rsidP="003D052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Financing the subject of the planned contract</w:t>
      </w:r>
    </w:p>
    <w:p w:rsidR="00444A22" w:rsidRPr="00F47344" w:rsidRDefault="00BB17EA" w:rsidP="003D05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The subject of the planned contract is financed from the funds of the European Union under the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EU Civil Protection Mechanism for the implementation of the </w:t>
      </w:r>
      <w:r w:rsidR="003D0527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roject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"Development and </w:t>
      </w:r>
      <w:r w:rsidR="003D0527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aintenance of </w:t>
      </w:r>
      <w:proofErr w:type="spellStart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rescEU</w:t>
      </w:r>
      <w:proofErr w:type="spellEnd"/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D0527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E638CB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="0050668B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ansport and </w:t>
      </w:r>
      <w:r w:rsidR="003D0527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50668B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ogistics </w:t>
      </w:r>
      <w:r w:rsidR="003D0527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50668B"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apacities </w:t>
      </w: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in Poland"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, project</w:t>
      </w:r>
      <w:r w:rsidR="00D04DF5"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 number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667BD" w:rsidRPr="00F4734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101105145 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(hereinafter</w:t>
      </w:r>
      <w:r w:rsidR="003D0527">
        <w:rPr>
          <w:rFonts w:ascii="Times New Roman" w:hAnsi="Times New Roman" w:cs="Times New Roman"/>
          <w:sz w:val="24"/>
          <w:szCs w:val="24"/>
          <w:lang w:val="en-GB"/>
        </w:rPr>
        <w:t xml:space="preserve"> referred to as “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>co-financing</w:t>
      </w:r>
      <w:r w:rsidR="003D052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E56419" w:rsidRPr="00F47344" w:rsidRDefault="00E56419" w:rsidP="003D05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44A22" w:rsidRPr="00F47344" w:rsidRDefault="00BB17EA" w:rsidP="003D052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b/>
          <w:bCs/>
          <w:sz w:val="24"/>
          <w:szCs w:val="24"/>
          <w:lang w:val="en-GB"/>
        </w:rPr>
        <w:t>Disclaimer</w:t>
      </w:r>
    </w:p>
    <w:p w:rsidR="00444A22" w:rsidRPr="00F47344" w:rsidRDefault="003D0527" w:rsidP="003D0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r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>equest for quot</w:t>
      </w:r>
      <w:r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BB17EA" w:rsidRPr="00F4734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44A22" w:rsidRPr="00F47344" w:rsidRDefault="00BB17EA" w:rsidP="003D052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does not constitute a request for an offer within the meaning of Article 66 of the Act of 23 April 1964 Civil Code, </w:t>
      </w:r>
    </w:p>
    <w:p w:rsidR="00444A22" w:rsidRPr="00F47344" w:rsidRDefault="00BB17EA" w:rsidP="003D052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is not a contract notice posted on the Competitive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ness Database, </w:t>
      </w:r>
    </w:p>
    <w:p w:rsidR="00444A22" w:rsidRPr="00F47344" w:rsidRDefault="00BB17EA" w:rsidP="003D052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is not a notice of intention to award a contract published pursuant to Article 89(1) of the Public Procurement Law of 11 September 2019. </w:t>
      </w:r>
    </w:p>
    <w:p w:rsidR="00444A22" w:rsidRPr="00F47344" w:rsidRDefault="00BB17EA" w:rsidP="003D0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44">
        <w:rPr>
          <w:rFonts w:ascii="Times New Roman" w:hAnsi="Times New Roman" w:cs="Times New Roman"/>
          <w:sz w:val="24"/>
          <w:szCs w:val="24"/>
          <w:lang w:val="en-GB"/>
        </w:rPr>
        <w:t>The purpose of the Request for Quotation is solely to obtain knowledge of the value of the planned con</w:t>
      </w:r>
      <w:r w:rsidRPr="00F47344">
        <w:rPr>
          <w:rFonts w:ascii="Times New Roman" w:hAnsi="Times New Roman" w:cs="Times New Roman"/>
          <w:sz w:val="24"/>
          <w:szCs w:val="24"/>
          <w:lang w:val="en-GB"/>
        </w:rPr>
        <w:t xml:space="preserve">tract. </w:t>
      </w:r>
    </w:p>
    <w:p w:rsidR="00C46403" w:rsidRPr="00F47344" w:rsidRDefault="00C46403" w:rsidP="003D0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4A22" w:rsidRPr="00FB608C" w:rsidRDefault="00BB17EA" w:rsidP="003D052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Appendices:</w:t>
      </w:r>
    </w:p>
    <w:p w:rsidR="00444A22" w:rsidRPr="00FB608C" w:rsidRDefault="003012CE" w:rsidP="003D052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Appendix</w:t>
      </w:r>
      <w:r w:rsidR="00BB17EA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C456AC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1A</w:t>
      </w:r>
      <w:r w:rsidR="003D0527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  <w:r w:rsidR="00BB17EA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Detailed description of the subject matter of the</w:t>
      </w:r>
      <w:r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planned</w:t>
      </w:r>
      <w:r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contract</w:t>
      </w:r>
      <w:r w:rsidR="00FB608C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– aircraft </w:t>
      </w:r>
    </w:p>
    <w:p w:rsidR="00444A22" w:rsidRPr="00FB608C" w:rsidRDefault="003012CE" w:rsidP="003D052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Appendix </w:t>
      </w:r>
      <w:r w:rsidR="00BB17EA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1B</w:t>
      </w:r>
      <w:r w:rsidR="003D0527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  <w:r w:rsidR="00BB17EA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Detailed description </w:t>
      </w:r>
      <w:r w:rsidR="00FB608C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of the subject matter of the planned contract</w:t>
      </w:r>
      <w:r w:rsidR="00FB608C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3D0527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–</w:t>
      </w:r>
      <w:r w:rsid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182D0F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medical equipment</w:t>
      </w:r>
      <w:r w:rsidR="00FB608C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FB608C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storage</w:t>
      </w:r>
    </w:p>
    <w:p w:rsidR="00D04DF5" w:rsidRPr="00FB608C" w:rsidRDefault="003012CE" w:rsidP="003D052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Appendix </w:t>
      </w:r>
      <w:r w:rsidR="00C456AC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2</w:t>
      </w:r>
      <w:r w:rsidR="003D0527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  <w:r w:rsidR="00BB17EA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3D0527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Price </w:t>
      </w:r>
      <w:r w:rsidR="00EA3C19" w:rsidRPr="00FB608C">
        <w:rPr>
          <w:rFonts w:ascii="Times New Roman" w:hAnsi="Times New Roman" w:cs="Times New Roman"/>
          <w:i/>
          <w:iCs/>
          <w:sz w:val="20"/>
          <w:szCs w:val="20"/>
          <w:lang w:val="en-GB"/>
        </w:rPr>
        <w:t>Offer Form</w:t>
      </w:r>
    </w:p>
    <w:sectPr w:rsidR="00D04DF5" w:rsidRPr="00FB608C" w:rsidSect="009A27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EA" w:rsidRDefault="00BB17EA" w:rsidP="008F0897">
      <w:pPr>
        <w:spacing w:after="0" w:line="240" w:lineRule="auto"/>
      </w:pPr>
      <w:r>
        <w:separator/>
      </w:r>
    </w:p>
  </w:endnote>
  <w:endnote w:type="continuationSeparator" w:id="0">
    <w:p w:rsidR="00BB17EA" w:rsidRDefault="00BB17EA" w:rsidP="008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EA" w:rsidRDefault="00BB17EA" w:rsidP="008F0897">
      <w:pPr>
        <w:spacing w:after="0" w:line="240" w:lineRule="auto"/>
      </w:pPr>
      <w:r>
        <w:separator/>
      </w:r>
    </w:p>
  </w:footnote>
  <w:footnote w:type="continuationSeparator" w:id="0">
    <w:p w:rsidR="00BB17EA" w:rsidRDefault="00BB17EA" w:rsidP="008F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22" w:rsidRDefault="00BB17EA">
    <w:pPr>
      <w:pStyle w:val="Nagwek"/>
    </w:pPr>
    <w:bookmarkStart w:id="2" w:name="_Hlk144959405"/>
    <w:bookmarkStart w:id="3" w:name="_Hlk144959406"/>
    <w:r>
      <w:rPr>
        <w:noProof/>
        <w:lang w:eastAsia="pl-PL" w:bidi="sa-IN"/>
      </w:rPr>
      <w:drawing>
        <wp:anchor distT="0" distB="0" distL="114300" distR="114300" simplePos="0" relativeHeight="251664384" behindDoc="0" locked="0" layoutInCell="1" allowOverlap="1" wp14:anchorId="04E5F096" wp14:editId="49F83303">
          <wp:simplePos x="0" y="0"/>
          <wp:positionH relativeFrom="margin">
            <wp:align>left</wp:align>
          </wp:positionH>
          <wp:positionV relativeFrom="paragraph">
            <wp:posOffset>-132079</wp:posOffset>
          </wp:positionV>
          <wp:extent cx="2216047" cy="807508"/>
          <wp:effectExtent l="0" t="0" r="0" b="0"/>
          <wp:wrapNone/>
          <wp:docPr id="1" name="Obraz 1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7" cy="80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FAC">
      <w:rPr>
        <w:noProof/>
        <w:lang w:eastAsia="pl-PL" w:bidi="sa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34713B" wp14:editId="6C14D80C">
              <wp:simplePos x="0" y="0"/>
              <wp:positionH relativeFrom="margin">
                <wp:align>left</wp:align>
              </wp:positionH>
              <wp:positionV relativeFrom="paragraph">
                <wp:posOffset>789940</wp:posOffset>
              </wp:positionV>
              <wp:extent cx="5810250" cy="0"/>
              <wp:effectExtent l="0" t="0" r="0" b="0"/>
              <wp:wrapNone/>
              <wp:docPr id="1916984436" name="Łącznik prosty 19169844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 xmlns:a14="http://schemas.microsoft.com/office/drawing/2010/main" xmlns:pic="http://schemas.openxmlformats.org/drawingml/2006/picture" xmlns:a="http://schemas.openxmlformats.org/drawingml/2006/main">
          <w:pict>
            <v:line id="Łącznik prosty 191698443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472c4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" from="0,62.2pt" to="457.5pt,62.2pt" w14:anchorId="460B414D">
              <v:stroke joinstyle="miter"/>
              <w10:wrap anchorx="margin"/>
            </v:line>
          </w:pict>
        </mc:Fallback>
      </mc:AlternateContent>
    </w:r>
    <w:r w:rsidR="00522FAC" w:rsidRPr="00365F37">
      <w:rPr>
        <w:noProof/>
        <w:color w:val="FFFFFF" w:themeColor="background1"/>
      </w:rPr>
      <w:t xml:space="preserve">                                                                                               </w:t>
    </w:r>
    <w:r w:rsidR="00E638CB">
      <w:rPr>
        <w:noProof/>
        <w:lang w:eastAsia="pl-PL" w:bidi="sa-IN"/>
      </w:rPr>
      <w:drawing>
        <wp:inline distT="0" distB="0" distL="0" distR="0">
          <wp:extent cx="2723166" cy="572195"/>
          <wp:effectExtent l="0" t="0" r="1270" b="0"/>
          <wp:docPr id="2" name="Obraz 2" descr="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ed by the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558" cy="58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8CB">
      <w:rPr>
        <w:noProof/>
        <w:lang w:eastAsia="pl-PL" w:bidi="sa-IN"/>
      </w:rPr>
      <w:t xml:space="preserve"> </w:t>
    </w:r>
  </w:p>
  <w:p w:rsidR="008F0897" w:rsidRDefault="008F0897" w:rsidP="00913452">
    <w:pPr>
      <w:pStyle w:val="Nagwek"/>
    </w:pPr>
  </w:p>
  <w:bookmarkEnd w:id="2"/>
  <w:bookmarkEnd w:id="3"/>
  <w:p w:rsidR="00522FAC" w:rsidRDefault="00522FAC" w:rsidP="00913452">
    <w:pPr>
      <w:pStyle w:val="Nagwek"/>
    </w:pPr>
  </w:p>
  <w:p w:rsidR="00D04DF5" w:rsidRDefault="00D04DF5" w:rsidP="00913452">
    <w:pPr>
      <w:pStyle w:val="Nagwek"/>
    </w:pPr>
  </w:p>
  <w:p w:rsidR="00D04DF5" w:rsidRPr="00365F37" w:rsidRDefault="00D04DF5" w:rsidP="00913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86B"/>
    <w:multiLevelType w:val="hybridMultilevel"/>
    <w:tmpl w:val="F8B2581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24F"/>
    <w:multiLevelType w:val="hybridMultilevel"/>
    <w:tmpl w:val="D53CE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081"/>
    <w:multiLevelType w:val="hybridMultilevel"/>
    <w:tmpl w:val="B75A8BE8"/>
    <w:lvl w:ilvl="0" w:tplc="EFCE6C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92CA8"/>
    <w:multiLevelType w:val="hybridMultilevel"/>
    <w:tmpl w:val="CE2ACCC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CE4D12"/>
    <w:multiLevelType w:val="hybridMultilevel"/>
    <w:tmpl w:val="FF5895A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DF11A8"/>
    <w:multiLevelType w:val="hybridMultilevel"/>
    <w:tmpl w:val="2BE207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26B3B"/>
    <w:multiLevelType w:val="hybridMultilevel"/>
    <w:tmpl w:val="5AE2296C"/>
    <w:lvl w:ilvl="0" w:tplc="90521D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45EEA"/>
    <w:multiLevelType w:val="hybridMultilevel"/>
    <w:tmpl w:val="B740AEA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45329"/>
    <w:multiLevelType w:val="hybridMultilevel"/>
    <w:tmpl w:val="18A00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75D"/>
    <w:multiLevelType w:val="hybridMultilevel"/>
    <w:tmpl w:val="5906ACE2"/>
    <w:lvl w:ilvl="0" w:tplc="041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31EA1A0C"/>
    <w:multiLevelType w:val="hybridMultilevel"/>
    <w:tmpl w:val="F8B2581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D7ADF"/>
    <w:multiLevelType w:val="hybridMultilevel"/>
    <w:tmpl w:val="1F8E15D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0D3CD8"/>
    <w:multiLevelType w:val="hybridMultilevel"/>
    <w:tmpl w:val="FB7205E0"/>
    <w:lvl w:ilvl="0" w:tplc="48AC602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3A3E"/>
    <w:multiLevelType w:val="hybridMultilevel"/>
    <w:tmpl w:val="8F8A1824"/>
    <w:lvl w:ilvl="0" w:tplc="71C2A0D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651AB"/>
    <w:multiLevelType w:val="hybridMultilevel"/>
    <w:tmpl w:val="96E8B46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D84F31"/>
    <w:multiLevelType w:val="hybridMultilevel"/>
    <w:tmpl w:val="5C86F9E4"/>
    <w:lvl w:ilvl="0" w:tplc="D23824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91E720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48AC602E">
      <w:start w:val="1"/>
      <w:numFmt w:val="lowerLetter"/>
      <w:lvlText w:val="%3."/>
      <w:lvlJc w:val="left"/>
      <w:pPr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23CAA"/>
    <w:multiLevelType w:val="hybridMultilevel"/>
    <w:tmpl w:val="0C047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E46BBC"/>
    <w:multiLevelType w:val="hybridMultilevel"/>
    <w:tmpl w:val="96E8B466"/>
    <w:lvl w:ilvl="0" w:tplc="1DCEC9D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4514"/>
    <w:multiLevelType w:val="hybridMultilevel"/>
    <w:tmpl w:val="59C8B5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E2CAC"/>
    <w:multiLevelType w:val="hybridMultilevel"/>
    <w:tmpl w:val="D806066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421B6"/>
    <w:multiLevelType w:val="hybridMultilevel"/>
    <w:tmpl w:val="E7B008D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9997F37"/>
    <w:multiLevelType w:val="hybridMultilevel"/>
    <w:tmpl w:val="62281ED8"/>
    <w:lvl w:ilvl="0" w:tplc="93FC90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52188"/>
    <w:multiLevelType w:val="hybridMultilevel"/>
    <w:tmpl w:val="50703B1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AD652A"/>
    <w:multiLevelType w:val="hybridMultilevel"/>
    <w:tmpl w:val="A4D64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31D95"/>
    <w:multiLevelType w:val="hybridMultilevel"/>
    <w:tmpl w:val="D806066C"/>
    <w:lvl w:ilvl="0" w:tplc="A97C78E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37ABC"/>
    <w:multiLevelType w:val="hybridMultilevel"/>
    <w:tmpl w:val="E8489682"/>
    <w:lvl w:ilvl="0" w:tplc="A63E2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6EC72200"/>
    <w:multiLevelType w:val="hybridMultilevel"/>
    <w:tmpl w:val="0F4AE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F61742"/>
    <w:multiLevelType w:val="hybridMultilevel"/>
    <w:tmpl w:val="4740B1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5714E4"/>
    <w:multiLevelType w:val="hybridMultilevel"/>
    <w:tmpl w:val="FB6C09D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A6A84"/>
    <w:multiLevelType w:val="hybridMultilevel"/>
    <w:tmpl w:val="449EBA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BB55A6"/>
    <w:multiLevelType w:val="hybridMultilevel"/>
    <w:tmpl w:val="1272E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C4C49"/>
    <w:multiLevelType w:val="hybridMultilevel"/>
    <w:tmpl w:val="5AE2296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9"/>
  </w:num>
  <w:num w:numId="5">
    <w:abstractNumId w:val="21"/>
  </w:num>
  <w:num w:numId="6">
    <w:abstractNumId w:val="10"/>
  </w:num>
  <w:num w:numId="7">
    <w:abstractNumId w:val="22"/>
  </w:num>
  <w:num w:numId="8">
    <w:abstractNumId w:val="27"/>
  </w:num>
  <w:num w:numId="9">
    <w:abstractNumId w:val="2"/>
  </w:num>
  <w:num w:numId="10">
    <w:abstractNumId w:val="30"/>
  </w:num>
  <w:num w:numId="11">
    <w:abstractNumId w:val="28"/>
  </w:num>
  <w:num w:numId="12">
    <w:abstractNumId w:val="26"/>
  </w:num>
  <w:num w:numId="13">
    <w:abstractNumId w:val="17"/>
  </w:num>
  <w:num w:numId="14">
    <w:abstractNumId w:val="24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  <w:num w:numId="20">
    <w:abstractNumId w:val="19"/>
  </w:num>
  <w:num w:numId="21">
    <w:abstractNumId w:val="31"/>
  </w:num>
  <w:num w:numId="22">
    <w:abstractNumId w:val="3"/>
  </w:num>
  <w:num w:numId="23">
    <w:abstractNumId w:val="12"/>
  </w:num>
  <w:num w:numId="24">
    <w:abstractNumId w:val="4"/>
  </w:num>
  <w:num w:numId="25">
    <w:abstractNumId w:val="5"/>
  </w:num>
  <w:num w:numId="26">
    <w:abstractNumId w:val="11"/>
  </w:num>
  <w:num w:numId="27">
    <w:abstractNumId w:val="1"/>
  </w:num>
  <w:num w:numId="28">
    <w:abstractNumId w:val="23"/>
  </w:num>
  <w:num w:numId="29">
    <w:abstractNumId w:val="20"/>
  </w:num>
  <w:num w:numId="30">
    <w:abstractNumId w:val="8"/>
  </w:num>
  <w:num w:numId="31">
    <w:abstractNumId w:val="9"/>
  </w:num>
  <w:num w:numId="3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DF"/>
    <w:rsid w:val="0000634C"/>
    <w:rsid w:val="00011CDC"/>
    <w:rsid w:val="00014230"/>
    <w:rsid w:val="0002252C"/>
    <w:rsid w:val="00024CC2"/>
    <w:rsid w:val="00036C1E"/>
    <w:rsid w:val="0003728A"/>
    <w:rsid w:val="00037F99"/>
    <w:rsid w:val="00046C46"/>
    <w:rsid w:val="00047917"/>
    <w:rsid w:val="000556FC"/>
    <w:rsid w:val="0005594D"/>
    <w:rsid w:val="00061F72"/>
    <w:rsid w:val="00062538"/>
    <w:rsid w:val="00063814"/>
    <w:rsid w:val="000673FD"/>
    <w:rsid w:val="000755C6"/>
    <w:rsid w:val="00077A0E"/>
    <w:rsid w:val="00077E07"/>
    <w:rsid w:val="00083645"/>
    <w:rsid w:val="00083FA5"/>
    <w:rsid w:val="0008580E"/>
    <w:rsid w:val="0008681A"/>
    <w:rsid w:val="0009074B"/>
    <w:rsid w:val="00094BB1"/>
    <w:rsid w:val="000A282B"/>
    <w:rsid w:val="000B56A6"/>
    <w:rsid w:val="000C0024"/>
    <w:rsid w:val="000C3390"/>
    <w:rsid w:val="000C78A2"/>
    <w:rsid w:val="000D2ACC"/>
    <w:rsid w:val="000E0625"/>
    <w:rsid w:val="000E0A2F"/>
    <w:rsid w:val="000F1246"/>
    <w:rsid w:val="00120022"/>
    <w:rsid w:val="00127BF6"/>
    <w:rsid w:val="001301A4"/>
    <w:rsid w:val="001317E2"/>
    <w:rsid w:val="00136CF8"/>
    <w:rsid w:val="00142AB9"/>
    <w:rsid w:val="0014337F"/>
    <w:rsid w:val="00150EF2"/>
    <w:rsid w:val="00154322"/>
    <w:rsid w:val="00162138"/>
    <w:rsid w:val="00165AFE"/>
    <w:rsid w:val="00166612"/>
    <w:rsid w:val="001745E1"/>
    <w:rsid w:val="00174750"/>
    <w:rsid w:val="00180204"/>
    <w:rsid w:val="00182D0F"/>
    <w:rsid w:val="001860C4"/>
    <w:rsid w:val="0019618F"/>
    <w:rsid w:val="001A5E75"/>
    <w:rsid w:val="001B1767"/>
    <w:rsid w:val="001B25E7"/>
    <w:rsid w:val="001B30D0"/>
    <w:rsid w:val="001C2978"/>
    <w:rsid w:val="001D661B"/>
    <w:rsid w:val="001D6759"/>
    <w:rsid w:val="001D709F"/>
    <w:rsid w:val="001E428A"/>
    <w:rsid w:val="001F5C57"/>
    <w:rsid w:val="00203357"/>
    <w:rsid w:val="00222F92"/>
    <w:rsid w:val="00223612"/>
    <w:rsid w:val="002420C3"/>
    <w:rsid w:val="00263263"/>
    <w:rsid w:val="002632B8"/>
    <w:rsid w:val="00263852"/>
    <w:rsid w:val="0027579B"/>
    <w:rsid w:val="0028608B"/>
    <w:rsid w:val="00291772"/>
    <w:rsid w:val="00291BD3"/>
    <w:rsid w:val="002922D0"/>
    <w:rsid w:val="002A03D2"/>
    <w:rsid w:val="002A21EF"/>
    <w:rsid w:val="002A34E2"/>
    <w:rsid w:val="002A60CF"/>
    <w:rsid w:val="002C3518"/>
    <w:rsid w:val="002D0D3D"/>
    <w:rsid w:val="002D161A"/>
    <w:rsid w:val="002D4109"/>
    <w:rsid w:val="002D75FF"/>
    <w:rsid w:val="002E0806"/>
    <w:rsid w:val="002E6A1A"/>
    <w:rsid w:val="003012CE"/>
    <w:rsid w:val="00314143"/>
    <w:rsid w:val="0031472E"/>
    <w:rsid w:val="00321150"/>
    <w:rsid w:val="00322190"/>
    <w:rsid w:val="00322A83"/>
    <w:rsid w:val="00326B35"/>
    <w:rsid w:val="0032786C"/>
    <w:rsid w:val="00331C79"/>
    <w:rsid w:val="003340D9"/>
    <w:rsid w:val="003345E4"/>
    <w:rsid w:val="00335938"/>
    <w:rsid w:val="00341157"/>
    <w:rsid w:val="0035218D"/>
    <w:rsid w:val="00360F44"/>
    <w:rsid w:val="00365F37"/>
    <w:rsid w:val="00367776"/>
    <w:rsid w:val="00371F40"/>
    <w:rsid w:val="00374A4D"/>
    <w:rsid w:val="00376C86"/>
    <w:rsid w:val="003802F6"/>
    <w:rsid w:val="0039118F"/>
    <w:rsid w:val="00397C58"/>
    <w:rsid w:val="003A0871"/>
    <w:rsid w:val="003A160B"/>
    <w:rsid w:val="003A2DB7"/>
    <w:rsid w:val="003A6B91"/>
    <w:rsid w:val="003B37EA"/>
    <w:rsid w:val="003B3DF0"/>
    <w:rsid w:val="003C5F2E"/>
    <w:rsid w:val="003D0527"/>
    <w:rsid w:val="003E4695"/>
    <w:rsid w:val="003E6693"/>
    <w:rsid w:val="003F69C6"/>
    <w:rsid w:val="00401F18"/>
    <w:rsid w:val="00410E1F"/>
    <w:rsid w:val="00411774"/>
    <w:rsid w:val="00420944"/>
    <w:rsid w:val="00422516"/>
    <w:rsid w:val="004279C3"/>
    <w:rsid w:val="00430B6C"/>
    <w:rsid w:val="0043155A"/>
    <w:rsid w:val="00442F19"/>
    <w:rsid w:val="00444A22"/>
    <w:rsid w:val="00454F5E"/>
    <w:rsid w:val="00456ADB"/>
    <w:rsid w:val="00461129"/>
    <w:rsid w:val="00477E4D"/>
    <w:rsid w:val="0048345D"/>
    <w:rsid w:val="00483B0A"/>
    <w:rsid w:val="004843B0"/>
    <w:rsid w:val="004A4FFD"/>
    <w:rsid w:val="004A58D8"/>
    <w:rsid w:val="004A61FC"/>
    <w:rsid w:val="004A6B17"/>
    <w:rsid w:val="004B7C6F"/>
    <w:rsid w:val="004D203B"/>
    <w:rsid w:val="004D4BEC"/>
    <w:rsid w:val="004E1934"/>
    <w:rsid w:val="004E6CE6"/>
    <w:rsid w:val="004F7E15"/>
    <w:rsid w:val="0050668B"/>
    <w:rsid w:val="00507FFD"/>
    <w:rsid w:val="005215E0"/>
    <w:rsid w:val="00522FAC"/>
    <w:rsid w:val="00531C2C"/>
    <w:rsid w:val="00543A56"/>
    <w:rsid w:val="00543E21"/>
    <w:rsid w:val="00546153"/>
    <w:rsid w:val="00557EEE"/>
    <w:rsid w:val="00565FE8"/>
    <w:rsid w:val="00574CC3"/>
    <w:rsid w:val="00584272"/>
    <w:rsid w:val="00586B9A"/>
    <w:rsid w:val="00587503"/>
    <w:rsid w:val="00587650"/>
    <w:rsid w:val="00590CAC"/>
    <w:rsid w:val="00597BD6"/>
    <w:rsid w:val="005A2B35"/>
    <w:rsid w:val="005A588E"/>
    <w:rsid w:val="005B136B"/>
    <w:rsid w:val="005B1F24"/>
    <w:rsid w:val="005C6D1F"/>
    <w:rsid w:val="005D0020"/>
    <w:rsid w:val="005E3427"/>
    <w:rsid w:val="005F56D9"/>
    <w:rsid w:val="005F7DE3"/>
    <w:rsid w:val="00604B07"/>
    <w:rsid w:val="00627046"/>
    <w:rsid w:val="00632499"/>
    <w:rsid w:val="00636834"/>
    <w:rsid w:val="006425B6"/>
    <w:rsid w:val="00643F7F"/>
    <w:rsid w:val="0065429D"/>
    <w:rsid w:val="00666B16"/>
    <w:rsid w:val="00667B01"/>
    <w:rsid w:val="00672E70"/>
    <w:rsid w:val="006749FF"/>
    <w:rsid w:val="00684F46"/>
    <w:rsid w:val="006908FE"/>
    <w:rsid w:val="00693F47"/>
    <w:rsid w:val="006A5657"/>
    <w:rsid w:val="006B4320"/>
    <w:rsid w:val="006D024B"/>
    <w:rsid w:val="006D5A82"/>
    <w:rsid w:val="006E15BC"/>
    <w:rsid w:val="006F14FE"/>
    <w:rsid w:val="0070189F"/>
    <w:rsid w:val="00710208"/>
    <w:rsid w:val="00714D73"/>
    <w:rsid w:val="007348D1"/>
    <w:rsid w:val="00737C86"/>
    <w:rsid w:val="00747A0C"/>
    <w:rsid w:val="00752FB3"/>
    <w:rsid w:val="0076105D"/>
    <w:rsid w:val="00766EC6"/>
    <w:rsid w:val="00770B2C"/>
    <w:rsid w:val="007734C6"/>
    <w:rsid w:val="00791216"/>
    <w:rsid w:val="007932D3"/>
    <w:rsid w:val="007944D3"/>
    <w:rsid w:val="007A5482"/>
    <w:rsid w:val="007A7DD1"/>
    <w:rsid w:val="007E16CD"/>
    <w:rsid w:val="007E310A"/>
    <w:rsid w:val="007F1876"/>
    <w:rsid w:val="00800E02"/>
    <w:rsid w:val="00804431"/>
    <w:rsid w:val="00804FEA"/>
    <w:rsid w:val="008102BC"/>
    <w:rsid w:val="008217AE"/>
    <w:rsid w:val="008276DC"/>
    <w:rsid w:val="00831633"/>
    <w:rsid w:val="0084467F"/>
    <w:rsid w:val="00852A92"/>
    <w:rsid w:val="00870AB6"/>
    <w:rsid w:val="00877D30"/>
    <w:rsid w:val="00890706"/>
    <w:rsid w:val="00893595"/>
    <w:rsid w:val="008951A6"/>
    <w:rsid w:val="008A1227"/>
    <w:rsid w:val="008A520C"/>
    <w:rsid w:val="008A5A5A"/>
    <w:rsid w:val="008B3425"/>
    <w:rsid w:val="008C078F"/>
    <w:rsid w:val="008C28C3"/>
    <w:rsid w:val="008C683F"/>
    <w:rsid w:val="008F0897"/>
    <w:rsid w:val="009023B9"/>
    <w:rsid w:val="00905647"/>
    <w:rsid w:val="00906FE2"/>
    <w:rsid w:val="00913452"/>
    <w:rsid w:val="00913A9E"/>
    <w:rsid w:val="0091725D"/>
    <w:rsid w:val="009226CC"/>
    <w:rsid w:val="009240F9"/>
    <w:rsid w:val="009300F3"/>
    <w:rsid w:val="00932B4B"/>
    <w:rsid w:val="009338F9"/>
    <w:rsid w:val="009364DF"/>
    <w:rsid w:val="00944B84"/>
    <w:rsid w:val="00957254"/>
    <w:rsid w:val="00962D92"/>
    <w:rsid w:val="0097354F"/>
    <w:rsid w:val="009820D4"/>
    <w:rsid w:val="009841BC"/>
    <w:rsid w:val="009868FE"/>
    <w:rsid w:val="00995001"/>
    <w:rsid w:val="00995E73"/>
    <w:rsid w:val="009A279F"/>
    <w:rsid w:val="009A502E"/>
    <w:rsid w:val="009B29AE"/>
    <w:rsid w:val="009B45EA"/>
    <w:rsid w:val="009B4912"/>
    <w:rsid w:val="009C0F93"/>
    <w:rsid w:val="009C2FAF"/>
    <w:rsid w:val="009D0AD1"/>
    <w:rsid w:val="009D55DA"/>
    <w:rsid w:val="009D5842"/>
    <w:rsid w:val="009E3791"/>
    <w:rsid w:val="009F0E53"/>
    <w:rsid w:val="009F47C1"/>
    <w:rsid w:val="009F61A6"/>
    <w:rsid w:val="00A0716D"/>
    <w:rsid w:val="00A12AC3"/>
    <w:rsid w:val="00A14393"/>
    <w:rsid w:val="00A17096"/>
    <w:rsid w:val="00A2268A"/>
    <w:rsid w:val="00A42A05"/>
    <w:rsid w:val="00A667BD"/>
    <w:rsid w:val="00A8211C"/>
    <w:rsid w:val="00A830B7"/>
    <w:rsid w:val="00A905A1"/>
    <w:rsid w:val="00A9569A"/>
    <w:rsid w:val="00A97088"/>
    <w:rsid w:val="00A9726A"/>
    <w:rsid w:val="00AB749A"/>
    <w:rsid w:val="00AC0573"/>
    <w:rsid w:val="00AC134D"/>
    <w:rsid w:val="00AC2D57"/>
    <w:rsid w:val="00AC4B9D"/>
    <w:rsid w:val="00AD2467"/>
    <w:rsid w:val="00AD2B13"/>
    <w:rsid w:val="00AE1019"/>
    <w:rsid w:val="00AE31DA"/>
    <w:rsid w:val="00AF2BA7"/>
    <w:rsid w:val="00AF53C8"/>
    <w:rsid w:val="00B00442"/>
    <w:rsid w:val="00B04A70"/>
    <w:rsid w:val="00B11D87"/>
    <w:rsid w:val="00B11FB6"/>
    <w:rsid w:val="00B17766"/>
    <w:rsid w:val="00B22197"/>
    <w:rsid w:val="00B231DB"/>
    <w:rsid w:val="00B34A6F"/>
    <w:rsid w:val="00B34DC1"/>
    <w:rsid w:val="00B44956"/>
    <w:rsid w:val="00B466C5"/>
    <w:rsid w:val="00B47972"/>
    <w:rsid w:val="00B519C9"/>
    <w:rsid w:val="00B56675"/>
    <w:rsid w:val="00B84D9A"/>
    <w:rsid w:val="00B85544"/>
    <w:rsid w:val="00B87BB9"/>
    <w:rsid w:val="00BA1B6F"/>
    <w:rsid w:val="00BA28A4"/>
    <w:rsid w:val="00BA579A"/>
    <w:rsid w:val="00BB17EA"/>
    <w:rsid w:val="00BD699D"/>
    <w:rsid w:val="00BE3A19"/>
    <w:rsid w:val="00BE4020"/>
    <w:rsid w:val="00BE66E1"/>
    <w:rsid w:val="00BE687E"/>
    <w:rsid w:val="00BF20F6"/>
    <w:rsid w:val="00C01A83"/>
    <w:rsid w:val="00C0652A"/>
    <w:rsid w:val="00C15AD4"/>
    <w:rsid w:val="00C277E7"/>
    <w:rsid w:val="00C413CF"/>
    <w:rsid w:val="00C456AC"/>
    <w:rsid w:val="00C46403"/>
    <w:rsid w:val="00C5543F"/>
    <w:rsid w:val="00C64052"/>
    <w:rsid w:val="00C71C4A"/>
    <w:rsid w:val="00C726B8"/>
    <w:rsid w:val="00C903E9"/>
    <w:rsid w:val="00CA0335"/>
    <w:rsid w:val="00CA0D40"/>
    <w:rsid w:val="00CA4C21"/>
    <w:rsid w:val="00CA77DE"/>
    <w:rsid w:val="00CB18CF"/>
    <w:rsid w:val="00CB409E"/>
    <w:rsid w:val="00CB44A4"/>
    <w:rsid w:val="00CC1CB7"/>
    <w:rsid w:val="00CC1EE7"/>
    <w:rsid w:val="00CC356A"/>
    <w:rsid w:val="00CD0CDF"/>
    <w:rsid w:val="00CD2D2E"/>
    <w:rsid w:val="00CD35F4"/>
    <w:rsid w:val="00CD7130"/>
    <w:rsid w:val="00CE1900"/>
    <w:rsid w:val="00CF0556"/>
    <w:rsid w:val="00CF19F7"/>
    <w:rsid w:val="00CF43E6"/>
    <w:rsid w:val="00CF4B4E"/>
    <w:rsid w:val="00D00F5B"/>
    <w:rsid w:val="00D04DF5"/>
    <w:rsid w:val="00D10004"/>
    <w:rsid w:val="00D119C0"/>
    <w:rsid w:val="00D203E5"/>
    <w:rsid w:val="00D23736"/>
    <w:rsid w:val="00D25D53"/>
    <w:rsid w:val="00D263C3"/>
    <w:rsid w:val="00D27782"/>
    <w:rsid w:val="00D30FAE"/>
    <w:rsid w:val="00D34377"/>
    <w:rsid w:val="00D3737C"/>
    <w:rsid w:val="00D418D9"/>
    <w:rsid w:val="00D503D6"/>
    <w:rsid w:val="00D505B3"/>
    <w:rsid w:val="00D554F1"/>
    <w:rsid w:val="00D60D49"/>
    <w:rsid w:val="00D62D4A"/>
    <w:rsid w:val="00D740B8"/>
    <w:rsid w:val="00D759ED"/>
    <w:rsid w:val="00D82648"/>
    <w:rsid w:val="00D95719"/>
    <w:rsid w:val="00D957DC"/>
    <w:rsid w:val="00DA1FB2"/>
    <w:rsid w:val="00DB3A89"/>
    <w:rsid w:val="00DC4B2E"/>
    <w:rsid w:val="00DC7B75"/>
    <w:rsid w:val="00DD3C4E"/>
    <w:rsid w:val="00DD48EF"/>
    <w:rsid w:val="00DD7389"/>
    <w:rsid w:val="00DE4229"/>
    <w:rsid w:val="00DE676F"/>
    <w:rsid w:val="00DF1AFE"/>
    <w:rsid w:val="00DF3DA5"/>
    <w:rsid w:val="00DF66A6"/>
    <w:rsid w:val="00DF67A6"/>
    <w:rsid w:val="00DF792A"/>
    <w:rsid w:val="00E00581"/>
    <w:rsid w:val="00E02412"/>
    <w:rsid w:val="00E1433A"/>
    <w:rsid w:val="00E25DCC"/>
    <w:rsid w:val="00E35E61"/>
    <w:rsid w:val="00E54305"/>
    <w:rsid w:val="00E55DF4"/>
    <w:rsid w:val="00E56419"/>
    <w:rsid w:val="00E566A0"/>
    <w:rsid w:val="00E570A1"/>
    <w:rsid w:val="00E57155"/>
    <w:rsid w:val="00E61D87"/>
    <w:rsid w:val="00E622F9"/>
    <w:rsid w:val="00E638CB"/>
    <w:rsid w:val="00E650E2"/>
    <w:rsid w:val="00E65F41"/>
    <w:rsid w:val="00E674F4"/>
    <w:rsid w:val="00E72589"/>
    <w:rsid w:val="00E87DB2"/>
    <w:rsid w:val="00E903A9"/>
    <w:rsid w:val="00E96DF5"/>
    <w:rsid w:val="00EA0025"/>
    <w:rsid w:val="00EA3C19"/>
    <w:rsid w:val="00EA421E"/>
    <w:rsid w:val="00EB20DD"/>
    <w:rsid w:val="00EB4B87"/>
    <w:rsid w:val="00EB6258"/>
    <w:rsid w:val="00EC30B6"/>
    <w:rsid w:val="00EC73C3"/>
    <w:rsid w:val="00ED3BDA"/>
    <w:rsid w:val="00ED5901"/>
    <w:rsid w:val="00EF0C51"/>
    <w:rsid w:val="00EF1EBD"/>
    <w:rsid w:val="00EF3EB5"/>
    <w:rsid w:val="00F01817"/>
    <w:rsid w:val="00F02605"/>
    <w:rsid w:val="00F06F2F"/>
    <w:rsid w:val="00F077CC"/>
    <w:rsid w:val="00F07C0C"/>
    <w:rsid w:val="00F11336"/>
    <w:rsid w:val="00F13E22"/>
    <w:rsid w:val="00F150F4"/>
    <w:rsid w:val="00F15C79"/>
    <w:rsid w:val="00F163DA"/>
    <w:rsid w:val="00F22786"/>
    <w:rsid w:val="00F25979"/>
    <w:rsid w:val="00F31CFB"/>
    <w:rsid w:val="00F33FF8"/>
    <w:rsid w:val="00F355AA"/>
    <w:rsid w:val="00F47344"/>
    <w:rsid w:val="00F53860"/>
    <w:rsid w:val="00F54B75"/>
    <w:rsid w:val="00F54DFC"/>
    <w:rsid w:val="00F558AA"/>
    <w:rsid w:val="00F56FDA"/>
    <w:rsid w:val="00F60A27"/>
    <w:rsid w:val="00F645C5"/>
    <w:rsid w:val="00F773E7"/>
    <w:rsid w:val="00F87BF7"/>
    <w:rsid w:val="00F931FD"/>
    <w:rsid w:val="00F94BCB"/>
    <w:rsid w:val="00F9626E"/>
    <w:rsid w:val="00FB2555"/>
    <w:rsid w:val="00FB2E57"/>
    <w:rsid w:val="00FB411A"/>
    <w:rsid w:val="00FB50BB"/>
    <w:rsid w:val="00FB608C"/>
    <w:rsid w:val="00FB6BF7"/>
    <w:rsid w:val="00FC5E4E"/>
    <w:rsid w:val="00FF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BBE6E-F7C1-45B8-A3C1-4C81AEB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C79"/>
  </w:style>
  <w:style w:type="paragraph" w:styleId="Nagwek1">
    <w:name w:val="heading 1"/>
    <w:basedOn w:val="Normalny"/>
    <w:link w:val="Nagwek1Znak"/>
    <w:uiPriority w:val="9"/>
    <w:qFormat/>
    <w:rsid w:val="005B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5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9364D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9364DF"/>
  </w:style>
  <w:style w:type="table" w:styleId="Tabela-Siatka">
    <w:name w:val="Table Grid"/>
    <w:basedOn w:val="Standardowy"/>
    <w:uiPriority w:val="39"/>
    <w:rsid w:val="0093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97"/>
  </w:style>
  <w:style w:type="paragraph" w:styleId="Stopka">
    <w:name w:val="footer"/>
    <w:basedOn w:val="Normalny"/>
    <w:link w:val="Stopka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897"/>
  </w:style>
  <w:style w:type="paragraph" w:customStyle="1" w:styleId="Normalny1">
    <w:name w:val="Normalny1"/>
    <w:rsid w:val="00B11D87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B87B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15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6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3C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FF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B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1F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B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5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2">
    <w:name w:val="List 2"/>
    <w:basedOn w:val="Normalny"/>
    <w:uiPriority w:val="99"/>
    <w:unhideWhenUsed/>
    <w:rsid w:val="000C002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C0024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0C0024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C0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024"/>
  </w:style>
  <w:style w:type="paragraph" w:styleId="Poprawka">
    <w:name w:val="Revision"/>
    <w:hidden/>
    <w:uiPriority w:val="99"/>
    <w:semiHidden/>
    <w:rsid w:val="0097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ar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w@rar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Stec</dc:creator>
  <cp:keywords>, docId:950AAF23FCFE908BF190AB505027A3B3</cp:keywords>
  <cp:lastModifiedBy>www.sroda.com.pl</cp:lastModifiedBy>
  <cp:revision>11</cp:revision>
  <dcterms:created xsi:type="dcterms:W3CDTF">2024-02-26T09:47:00Z</dcterms:created>
  <dcterms:modified xsi:type="dcterms:W3CDTF">2024-03-01T11:43:00Z</dcterms:modified>
</cp:coreProperties>
</file>