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68DF" w14:textId="42CE1328" w:rsidR="00F043B4" w:rsidRPr="00F043B4" w:rsidRDefault="00F043B4" w:rsidP="00F043B4">
      <w:pPr>
        <w:spacing w:line="288" w:lineRule="auto"/>
        <w:jc w:val="right"/>
        <w:rPr>
          <w:bCs/>
          <w:i/>
          <w:iCs/>
        </w:rPr>
      </w:pPr>
      <w:r w:rsidRPr="00F043B4">
        <w:rPr>
          <w:bCs/>
          <w:i/>
          <w:iCs/>
        </w:rPr>
        <w:t>Załącznik nr 1 do Zapytania o wycenę – „Opis przedmiotu planowanego zamówienia”</w:t>
      </w:r>
    </w:p>
    <w:p w14:paraId="2AD18F5B" w14:textId="77777777" w:rsidR="00F043B4" w:rsidRPr="00F043B4" w:rsidRDefault="00F043B4" w:rsidP="00F043B4">
      <w:pPr>
        <w:spacing w:line="288" w:lineRule="auto"/>
        <w:jc w:val="center"/>
        <w:rPr>
          <w:b/>
        </w:rPr>
      </w:pPr>
    </w:p>
    <w:p w14:paraId="657E3CD1" w14:textId="77777777" w:rsidR="00F043B4" w:rsidRPr="00F043B4" w:rsidRDefault="00F043B4" w:rsidP="00F043B4">
      <w:pPr>
        <w:spacing w:line="288" w:lineRule="auto"/>
        <w:jc w:val="center"/>
        <w:rPr>
          <w:b/>
        </w:rPr>
      </w:pPr>
    </w:p>
    <w:p w14:paraId="2F5727FF" w14:textId="77777777" w:rsidR="00F043B4" w:rsidRPr="00F043B4" w:rsidRDefault="00F043B4" w:rsidP="00F043B4">
      <w:pPr>
        <w:spacing w:line="288" w:lineRule="auto"/>
        <w:jc w:val="center"/>
        <w:rPr>
          <w:b/>
        </w:rPr>
      </w:pPr>
    </w:p>
    <w:p w14:paraId="7C55F35B" w14:textId="36EFFA03" w:rsidR="005B5917" w:rsidRPr="00F043B4" w:rsidRDefault="005B5917" w:rsidP="00F043B4">
      <w:pPr>
        <w:spacing w:line="288" w:lineRule="auto"/>
        <w:jc w:val="center"/>
        <w:rPr>
          <w:b/>
        </w:rPr>
      </w:pPr>
      <w:r w:rsidRPr="00F043B4">
        <w:rPr>
          <w:b/>
        </w:rPr>
        <w:t>Opis przedmiotu</w:t>
      </w:r>
      <w:r w:rsidR="00F043B4" w:rsidRPr="00F043B4">
        <w:rPr>
          <w:b/>
        </w:rPr>
        <w:t xml:space="preserve"> planowanego</w:t>
      </w:r>
      <w:r w:rsidRPr="00F043B4">
        <w:rPr>
          <w:b/>
        </w:rPr>
        <w:t xml:space="preserve"> zamówienia</w:t>
      </w:r>
    </w:p>
    <w:p w14:paraId="672A6659" w14:textId="77777777" w:rsidR="005B5917" w:rsidRPr="00F043B4" w:rsidRDefault="005B5917" w:rsidP="00F043B4">
      <w:pPr>
        <w:spacing w:line="288" w:lineRule="auto"/>
      </w:pPr>
    </w:p>
    <w:p w14:paraId="5F4BC371" w14:textId="77777777" w:rsidR="00F67E4E" w:rsidRPr="00F043B4" w:rsidRDefault="00F67E4E" w:rsidP="00F043B4">
      <w:pPr>
        <w:numPr>
          <w:ilvl w:val="0"/>
          <w:numId w:val="14"/>
        </w:numPr>
        <w:spacing w:line="288" w:lineRule="auto"/>
        <w:ind w:left="284" w:hanging="284"/>
        <w:rPr>
          <w:b/>
          <w:bCs/>
        </w:rPr>
      </w:pPr>
      <w:r w:rsidRPr="00F043B4">
        <w:rPr>
          <w:b/>
          <w:bCs/>
        </w:rPr>
        <w:t xml:space="preserve">Przedmiot planowanego zamówienia </w:t>
      </w:r>
    </w:p>
    <w:p w14:paraId="7895BDA2" w14:textId="41D73D16" w:rsidR="00F67E4E" w:rsidRDefault="00F67E4E" w:rsidP="00F043B4">
      <w:pPr>
        <w:spacing w:line="288" w:lineRule="auto"/>
        <w:jc w:val="both"/>
      </w:pPr>
      <w:r w:rsidRPr="00F043B4">
        <w:t>Przedmiotem planowanego zamówienia jest dostawa, wraz z przeniesieniem własności na</w:t>
      </w:r>
      <w:r w:rsidR="00B90EB1" w:rsidRPr="00F043B4">
        <w:t> </w:t>
      </w:r>
      <w:r w:rsidRPr="00F043B4">
        <w:t>Zamawiającego, agregatów prądotwórczych</w:t>
      </w:r>
      <w:r w:rsidR="000A5EB0" w:rsidRPr="00F043B4">
        <w:t xml:space="preserve"> </w:t>
      </w:r>
      <w:r w:rsidR="00AB33F7">
        <w:t>i/lub</w:t>
      </w:r>
      <w:r w:rsidR="00AB33F7" w:rsidRPr="00F043B4">
        <w:t xml:space="preserve"> </w:t>
      </w:r>
      <w:r w:rsidR="000A5EB0" w:rsidRPr="00F043B4">
        <w:t>specjalistycznych agregatów prądotwórczych</w:t>
      </w:r>
      <w:r w:rsidR="00E96BAF" w:rsidRPr="00F043B4">
        <w:t>, dalej łącznie zwane: „agregatem” lub „agregatami”,</w:t>
      </w:r>
      <w:r w:rsidRPr="00F043B4">
        <w:t xml:space="preserve"> o parametrach techniczno-funkcjonalnych i</w:t>
      </w:r>
      <w:r w:rsidR="00B90EB1" w:rsidRPr="00F043B4">
        <w:t> </w:t>
      </w:r>
      <w:r w:rsidRPr="00F043B4">
        <w:t xml:space="preserve">jakościowych określonych poniżej. </w:t>
      </w:r>
    </w:p>
    <w:p w14:paraId="110960EA" w14:textId="77777777" w:rsidR="00F043B4" w:rsidRPr="00F043B4" w:rsidRDefault="00F043B4" w:rsidP="00F043B4">
      <w:pPr>
        <w:spacing w:line="288" w:lineRule="auto"/>
        <w:jc w:val="both"/>
      </w:pPr>
    </w:p>
    <w:p w14:paraId="2398EC29" w14:textId="67ACE7E2" w:rsidR="00F67E4E" w:rsidRPr="00F043B4" w:rsidRDefault="00F67E4E" w:rsidP="00F043B4">
      <w:pPr>
        <w:spacing w:line="288" w:lineRule="auto"/>
        <w:jc w:val="both"/>
      </w:pPr>
      <w:r w:rsidRPr="00F043B4">
        <w:t xml:space="preserve">Przedmiot planowanego zamówienia jest podzielony na </w:t>
      </w:r>
      <w:r w:rsidR="00603CB1" w:rsidRPr="00F043B4">
        <w:rPr>
          <w:b/>
          <w:bCs/>
        </w:rPr>
        <w:t>pięć</w:t>
      </w:r>
      <w:r w:rsidRPr="00F043B4">
        <w:rPr>
          <w:b/>
          <w:bCs/>
        </w:rPr>
        <w:t xml:space="preserve"> Części</w:t>
      </w:r>
      <w:r w:rsidRPr="00F043B4">
        <w:t>:</w:t>
      </w:r>
    </w:p>
    <w:p w14:paraId="3CA8A18F" w14:textId="3A8A4D4C" w:rsidR="00F67E4E" w:rsidRPr="00F043B4" w:rsidRDefault="00F67E4E" w:rsidP="00F043B4">
      <w:pPr>
        <w:numPr>
          <w:ilvl w:val="0"/>
          <w:numId w:val="15"/>
        </w:numPr>
        <w:spacing w:line="288" w:lineRule="auto"/>
        <w:jc w:val="both"/>
        <w:rPr>
          <w:b/>
          <w:bCs/>
        </w:rPr>
      </w:pPr>
      <w:r w:rsidRPr="00F043B4">
        <w:rPr>
          <w:b/>
          <w:bCs/>
        </w:rPr>
        <w:t>Część 1,</w:t>
      </w:r>
      <w:r w:rsidRPr="00F043B4">
        <w:t xml:space="preserve"> obejmująca dostawę agregatów o mocy znamionowej </w:t>
      </w:r>
      <w:r w:rsidRPr="00F043B4">
        <w:rPr>
          <w:b/>
          <w:bCs/>
        </w:rPr>
        <w:t xml:space="preserve">50 – </w:t>
      </w:r>
      <w:r w:rsidR="000A5EB0" w:rsidRPr="00F043B4">
        <w:rPr>
          <w:b/>
          <w:bCs/>
        </w:rPr>
        <w:t>99</w:t>
      </w:r>
      <w:r w:rsidRPr="00F043B4">
        <w:rPr>
          <w:b/>
          <w:bCs/>
        </w:rPr>
        <w:t xml:space="preserve"> kVA </w:t>
      </w:r>
      <w:r w:rsidRPr="00F043B4">
        <w:t>wg PN-ISO 8528 P.R.P</w:t>
      </w:r>
      <w:r w:rsidR="00BC45E9" w:rsidRPr="00F043B4">
        <w:t>.</w:t>
      </w:r>
      <w:r w:rsidR="00FC2E63">
        <w:t xml:space="preserve"> (lub równoważnej)</w:t>
      </w:r>
      <w:r w:rsidR="00BC45E9" w:rsidRPr="00F043B4">
        <w:t>,</w:t>
      </w:r>
      <w:r w:rsidR="00E22DC6">
        <w:t xml:space="preserve"> w docelowej pożądanej liczbie </w:t>
      </w:r>
      <w:r w:rsidR="00E22DC6" w:rsidRPr="002C3029">
        <w:rPr>
          <w:b/>
          <w:bCs/>
        </w:rPr>
        <w:t>500 sztuk</w:t>
      </w:r>
      <w:r w:rsidR="00E22DC6">
        <w:t>,</w:t>
      </w:r>
    </w:p>
    <w:p w14:paraId="2C4ABB6C" w14:textId="32450FAD" w:rsidR="00F67E4E" w:rsidRPr="00F043B4" w:rsidRDefault="00F67E4E" w:rsidP="00F043B4">
      <w:pPr>
        <w:numPr>
          <w:ilvl w:val="0"/>
          <w:numId w:val="15"/>
        </w:numPr>
        <w:spacing w:line="288" w:lineRule="auto"/>
        <w:jc w:val="both"/>
      </w:pPr>
      <w:r w:rsidRPr="00F043B4">
        <w:rPr>
          <w:b/>
          <w:bCs/>
        </w:rPr>
        <w:t>Część 2</w:t>
      </w:r>
      <w:r w:rsidRPr="00F043B4">
        <w:t>, obejmująca dostawę agregatów</w:t>
      </w:r>
      <w:r w:rsidR="000A5EB0" w:rsidRPr="00F043B4">
        <w:t xml:space="preserve"> </w:t>
      </w:r>
      <w:r w:rsidRPr="00F043B4">
        <w:t xml:space="preserve">o mocy znamionowej </w:t>
      </w:r>
      <w:r w:rsidR="00BC45E9" w:rsidRPr="00F043B4">
        <w:rPr>
          <w:b/>
          <w:bCs/>
        </w:rPr>
        <w:t>10</w:t>
      </w:r>
      <w:r w:rsidRPr="00F043B4">
        <w:rPr>
          <w:b/>
          <w:bCs/>
        </w:rPr>
        <w:t>0 – 1</w:t>
      </w:r>
      <w:r w:rsidR="000A5EB0" w:rsidRPr="00F043B4">
        <w:rPr>
          <w:b/>
          <w:bCs/>
        </w:rPr>
        <w:t>99</w:t>
      </w:r>
      <w:r w:rsidRPr="00F043B4">
        <w:rPr>
          <w:b/>
          <w:bCs/>
        </w:rPr>
        <w:t xml:space="preserve"> kVA</w:t>
      </w:r>
      <w:r w:rsidRPr="00F043B4">
        <w:t xml:space="preserve"> wg PN-ISO 8528 P.R.P</w:t>
      </w:r>
      <w:r w:rsidR="00BC45E9" w:rsidRPr="00F043B4">
        <w:t>.</w:t>
      </w:r>
      <w:r w:rsidR="00FC2E63">
        <w:t xml:space="preserve"> (lub równoważnej)</w:t>
      </w:r>
      <w:r w:rsidRPr="00F043B4">
        <w:t>,</w:t>
      </w:r>
      <w:r w:rsidR="00E22DC6">
        <w:t xml:space="preserve"> w docelowej pożądanej liczbie </w:t>
      </w:r>
      <w:r w:rsidR="00E22DC6" w:rsidRPr="002C3029">
        <w:rPr>
          <w:b/>
          <w:bCs/>
        </w:rPr>
        <w:t>500 sztuk</w:t>
      </w:r>
      <w:r w:rsidR="00E22DC6">
        <w:t>,</w:t>
      </w:r>
    </w:p>
    <w:p w14:paraId="4A04FB38" w14:textId="152E9F01" w:rsidR="00F67E4E" w:rsidRPr="00F043B4" w:rsidRDefault="00F67E4E" w:rsidP="00F043B4">
      <w:pPr>
        <w:numPr>
          <w:ilvl w:val="0"/>
          <w:numId w:val="15"/>
        </w:numPr>
        <w:spacing w:line="288" w:lineRule="auto"/>
        <w:jc w:val="both"/>
      </w:pPr>
      <w:r w:rsidRPr="00F043B4">
        <w:rPr>
          <w:b/>
          <w:bCs/>
        </w:rPr>
        <w:t xml:space="preserve">Część 3, </w:t>
      </w:r>
      <w:r w:rsidRPr="00F043B4">
        <w:t xml:space="preserve">obejmującą dostawę agregatów o mocy znamionowej </w:t>
      </w:r>
      <w:r w:rsidR="000A5EB0" w:rsidRPr="00F043B4">
        <w:rPr>
          <w:b/>
          <w:bCs/>
        </w:rPr>
        <w:t>200</w:t>
      </w:r>
      <w:r w:rsidRPr="00F043B4">
        <w:rPr>
          <w:b/>
          <w:bCs/>
        </w:rPr>
        <w:t xml:space="preserve"> – </w:t>
      </w:r>
      <w:r w:rsidR="00BC45E9" w:rsidRPr="00F043B4">
        <w:rPr>
          <w:b/>
          <w:bCs/>
        </w:rPr>
        <w:t>3</w:t>
      </w:r>
      <w:r w:rsidR="000A5EB0" w:rsidRPr="00F043B4">
        <w:rPr>
          <w:b/>
          <w:bCs/>
        </w:rPr>
        <w:t>5</w:t>
      </w:r>
      <w:r w:rsidRPr="00F043B4">
        <w:rPr>
          <w:b/>
          <w:bCs/>
        </w:rPr>
        <w:t>0 kVA</w:t>
      </w:r>
      <w:r w:rsidRPr="00F043B4">
        <w:t xml:space="preserve"> wg PN-ISO 8528 P.R.P</w:t>
      </w:r>
      <w:r w:rsidR="00BC45E9" w:rsidRPr="00F043B4">
        <w:t>.</w:t>
      </w:r>
      <w:r w:rsidR="00FC2E63">
        <w:t xml:space="preserve"> (lub równoważnej)</w:t>
      </w:r>
      <w:r w:rsidRPr="00F043B4">
        <w:t>,</w:t>
      </w:r>
      <w:r w:rsidR="00E22DC6">
        <w:t xml:space="preserve"> w docelowej pożądanej liczbie </w:t>
      </w:r>
      <w:r w:rsidR="00E22DC6" w:rsidRPr="002C3029">
        <w:rPr>
          <w:b/>
          <w:bCs/>
        </w:rPr>
        <w:t>500 sztuk</w:t>
      </w:r>
      <w:r w:rsidR="00E22DC6">
        <w:t>,</w:t>
      </w:r>
    </w:p>
    <w:p w14:paraId="5E7944A5" w14:textId="35DAB2DF" w:rsidR="00BC45E9" w:rsidRPr="00F043B4" w:rsidRDefault="00BC45E9" w:rsidP="00F043B4">
      <w:pPr>
        <w:numPr>
          <w:ilvl w:val="0"/>
          <w:numId w:val="15"/>
        </w:numPr>
        <w:spacing w:line="288" w:lineRule="auto"/>
        <w:jc w:val="both"/>
      </w:pPr>
      <w:r w:rsidRPr="00F043B4">
        <w:rPr>
          <w:b/>
          <w:bCs/>
        </w:rPr>
        <w:t xml:space="preserve">Część 4, </w:t>
      </w:r>
      <w:r w:rsidRPr="00F043B4">
        <w:t>obejmującą dostawę agregatów</w:t>
      </w:r>
      <w:r w:rsidR="000A5EB0" w:rsidRPr="00F043B4">
        <w:t xml:space="preserve"> </w:t>
      </w:r>
      <w:r w:rsidRPr="00F043B4">
        <w:t xml:space="preserve">o mocy znamionowej </w:t>
      </w:r>
      <w:r w:rsidR="000A5EB0" w:rsidRPr="00F043B4">
        <w:rPr>
          <w:b/>
          <w:bCs/>
        </w:rPr>
        <w:t>351</w:t>
      </w:r>
      <w:r w:rsidRPr="00F043B4">
        <w:rPr>
          <w:b/>
          <w:bCs/>
        </w:rPr>
        <w:t xml:space="preserve"> – 600 kVA</w:t>
      </w:r>
      <w:r w:rsidRPr="00F043B4">
        <w:t xml:space="preserve"> wg PN-ISO 8528 P.R.P.</w:t>
      </w:r>
      <w:r w:rsidR="00FC2E63">
        <w:t xml:space="preserve"> (lub równoważnej)</w:t>
      </w:r>
      <w:r w:rsidRPr="00F043B4">
        <w:t>,</w:t>
      </w:r>
      <w:r w:rsidR="00E22DC6" w:rsidRPr="00E22DC6">
        <w:t xml:space="preserve"> </w:t>
      </w:r>
      <w:r w:rsidR="00E22DC6">
        <w:t xml:space="preserve">w docelowej pożądanej liczbie </w:t>
      </w:r>
      <w:r w:rsidR="00E22DC6" w:rsidRPr="002C3029">
        <w:rPr>
          <w:b/>
          <w:bCs/>
        </w:rPr>
        <w:t>100 sztuk</w:t>
      </w:r>
      <w:r w:rsidR="00E22DC6">
        <w:t>,</w:t>
      </w:r>
    </w:p>
    <w:p w14:paraId="78D35538" w14:textId="794F54E6" w:rsidR="00BC45E9" w:rsidRPr="00F043B4" w:rsidRDefault="00BC45E9" w:rsidP="00F043B4">
      <w:pPr>
        <w:numPr>
          <w:ilvl w:val="0"/>
          <w:numId w:val="15"/>
        </w:numPr>
        <w:spacing w:line="288" w:lineRule="auto"/>
        <w:jc w:val="both"/>
      </w:pPr>
      <w:r w:rsidRPr="00F043B4">
        <w:rPr>
          <w:b/>
          <w:bCs/>
        </w:rPr>
        <w:t xml:space="preserve">Część 5, </w:t>
      </w:r>
      <w:r w:rsidRPr="00F043B4">
        <w:t>obejmującą dostawę agregatów</w:t>
      </w:r>
      <w:r w:rsidR="000A5EB0" w:rsidRPr="00F043B4">
        <w:t xml:space="preserve"> </w:t>
      </w:r>
      <w:r w:rsidRPr="00F043B4">
        <w:t xml:space="preserve">o mocy znamionowej </w:t>
      </w:r>
      <w:r w:rsidR="000A5EB0" w:rsidRPr="00F043B4">
        <w:rPr>
          <w:b/>
          <w:bCs/>
        </w:rPr>
        <w:t>powyżej 6</w:t>
      </w:r>
      <w:r w:rsidRPr="00F043B4">
        <w:rPr>
          <w:b/>
          <w:bCs/>
        </w:rPr>
        <w:t>00 kVA</w:t>
      </w:r>
      <w:r w:rsidRPr="00F043B4">
        <w:t xml:space="preserve"> wg PN-ISO 8528 P.R.P.</w:t>
      </w:r>
      <w:r w:rsidR="00FC2E63">
        <w:t xml:space="preserve"> (lub równoważnej)</w:t>
      </w:r>
      <w:r w:rsidRPr="00F043B4">
        <w:t>,</w:t>
      </w:r>
      <w:r w:rsidR="00E22DC6">
        <w:t xml:space="preserve"> w docelowej pożądanej liczbie </w:t>
      </w:r>
      <w:r w:rsidR="00E22DC6" w:rsidRPr="002C3029">
        <w:rPr>
          <w:b/>
          <w:bCs/>
        </w:rPr>
        <w:t>100 sztuk</w:t>
      </w:r>
      <w:r w:rsidR="00E01EB4">
        <w:t>.</w:t>
      </w:r>
    </w:p>
    <w:p w14:paraId="3C267D25" w14:textId="77777777" w:rsidR="00F67E4E" w:rsidRDefault="00F67E4E" w:rsidP="00F043B4">
      <w:pPr>
        <w:spacing w:line="288" w:lineRule="auto"/>
        <w:jc w:val="both"/>
        <w:rPr>
          <w:b/>
          <w:bCs/>
        </w:rPr>
      </w:pPr>
    </w:p>
    <w:p w14:paraId="67C8E283" w14:textId="77777777" w:rsidR="002C3029" w:rsidRPr="00F043B4" w:rsidRDefault="002C3029" w:rsidP="00F043B4">
      <w:pPr>
        <w:spacing w:line="288" w:lineRule="auto"/>
        <w:jc w:val="both"/>
        <w:rPr>
          <w:b/>
          <w:bCs/>
        </w:rPr>
      </w:pPr>
    </w:p>
    <w:p w14:paraId="2B9BBA34" w14:textId="77777777" w:rsidR="00F67E4E" w:rsidRPr="00F043B4" w:rsidRDefault="00F67E4E" w:rsidP="00F043B4">
      <w:pPr>
        <w:numPr>
          <w:ilvl w:val="0"/>
          <w:numId w:val="14"/>
        </w:numPr>
        <w:spacing w:line="288" w:lineRule="auto"/>
        <w:ind w:left="284" w:hanging="284"/>
        <w:jc w:val="both"/>
      </w:pPr>
      <w:r w:rsidRPr="00F043B4">
        <w:rPr>
          <w:b/>
          <w:bCs/>
        </w:rPr>
        <w:t>Parametry techniczno-funkcjonalne i jakościowe</w:t>
      </w:r>
    </w:p>
    <w:p w14:paraId="1043147E" w14:textId="77777777" w:rsidR="00F67E4E" w:rsidRPr="00F043B4" w:rsidRDefault="00F67E4E" w:rsidP="00F043B4">
      <w:pPr>
        <w:pStyle w:val="Akapitzlist"/>
        <w:numPr>
          <w:ilvl w:val="0"/>
          <w:numId w:val="16"/>
        </w:numPr>
        <w:spacing w:line="288" w:lineRule="auto"/>
        <w:jc w:val="both"/>
        <w:rPr>
          <w:b/>
          <w:bCs/>
          <w:u w:val="single"/>
        </w:rPr>
      </w:pPr>
      <w:r w:rsidRPr="00F043B4">
        <w:rPr>
          <w:b/>
          <w:bCs/>
          <w:u w:val="single"/>
        </w:rPr>
        <w:t>Wymagania ogólne:</w:t>
      </w:r>
    </w:p>
    <w:p w14:paraId="7875D0B4" w14:textId="4CB2D740" w:rsidR="00F67E4E" w:rsidRPr="00F043B4" w:rsidRDefault="00F67E4E" w:rsidP="00F043B4">
      <w:pPr>
        <w:numPr>
          <w:ilvl w:val="0"/>
          <w:numId w:val="1"/>
        </w:numPr>
        <w:tabs>
          <w:tab w:val="clear" w:pos="1065"/>
          <w:tab w:val="num" w:pos="705"/>
        </w:tabs>
        <w:autoSpaceDE w:val="0"/>
        <w:autoSpaceDN w:val="0"/>
        <w:spacing w:line="288" w:lineRule="auto"/>
        <w:ind w:left="705"/>
        <w:jc w:val="both"/>
      </w:pPr>
      <w:r w:rsidRPr="00F043B4">
        <w:t>Dostarczane agregat</w:t>
      </w:r>
      <w:r w:rsidR="00E8363A" w:rsidRPr="00F043B4">
        <w:t>y</w:t>
      </w:r>
      <w:r w:rsidRPr="00F043B4">
        <w:t xml:space="preserve"> oraz sterowniki i urządzenia towarzyszące muszą być fabrycznie nowe, wyprodukowane nie </w:t>
      </w:r>
      <w:r w:rsidR="00BC45E9" w:rsidRPr="00F043B4">
        <w:t>wcześniej</w:t>
      </w:r>
      <w:r w:rsidRPr="00F043B4">
        <w:t xml:space="preserve"> niż 12 miesięcy przed terminem dostawy</w:t>
      </w:r>
      <w:r w:rsidR="00FC2E63">
        <w:t>.</w:t>
      </w:r>
    </w:p>
    <w:p w14:paraId="5AD48CAA" w14:textId="4A13D096" w:rsidR="00F67E4E" w:rsidRPr="00F043B4" w:rsidRDefault="00F67E4E" w:rsidP="00F043B4">
      <w:pPr>
        <w:numPr>
          <w:ilvl w:val="0"/>
          <w:numId w:val="1"/>
        </w:numPr>
        <w:tabs>
          <w:tab w:val="clear" w:pos="1065"/>
          <w:tab w:val="num" w:pos="705"/>
        </w:tabs>
        <w:autoSpaceDE w:val="0"/>
        <w:autoSpaceDN w:val="0"/>
        <w:spacing w:line="288" w:lineRule="auto"/>
        <w:ind w:left="705"/>
        <w:jc w:val="both"/>
      </w:pPr>
      <w:r w:rsidRPr="00F043B4">
        <w:t>Urządzenia muszą być przeznaczone do pracy na terenie Unii Europejskiej i pochodzić z oficjalnego kanału dystrybucji na teren Unii Europejskiej</w:t>
      </w:r>
      <w:r w:rsidR="00BC45E9" w:rsidRPr="00F043B4">
        <w:t>.</w:t>
      </w:r>
    </w:p>
    <w:p w14:paraId="27253897" w14:textId="77777777" w:rsidR="00F67E4E" w:rsidRPr="00F043B4" w:rsidRDefault="00F67E4E" w:rsidP="00F043B4">
      <w:pPr>
        <w:autoSpaceDE w:val="0"/>
        <w:autoSpaceDN w:val="0"/>
        <w:spacing w:line="288" w:lineRule="auto"/>
        <w:ind w:left="705"/>
        <w:jc w:val="both"/>
      </w:pPr>
    </w:p>
    <w:p w14:paraId="59F8C2BC" w14:textId="3880157B" w:rsidR="00F67E4E" w:rsidRPr="00F043B4" w:rsidRDefault="00F67E4E" w:rsidP="00F043B4">
      <w:pPr>
        <w:numPr>
          <w:ilvl w:val="0"/>
          <w:numId w:val="16"/>
        </w:numPr>
        <w:autoSpaceDE w:val="0"/>
        <w:autoSpaceDN w:val="0"/>
        <w:spacing w:line="288" w:lineRule="auto"/>
        <w:jc w:val="both"/>
        <w:rPr>
          <w:b/>
          <w:bCs/>
          <w:u w:val="single"/>
        </w:rPr>
      </w:pPr>
      <w:r w:rsidRPr="00F043B4">
        <w:rPr>
          <w:b/>
          <w:bCs/>
          <w:u w:val="single"/>
        </w:rPr>
        <w:t>Wymaganie minimalne wspólne dla agregatów:</w:t>
      </w:r>
    </w:p>
    <w:p w14:paraId="375383E2" w14:textId="77777777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bookmarkStart w:id="0" w:name="_Hlk221866786"/>
      <w:r w:rsidRPr="00F043B4">
        <w:t>Agregat przystosowany do pracy ciągłej („</w:t>
      </w:r>
      <w:r w:rsidRPr="00F043B4">
        <w:rPr>
          <w:color w:val="000000"/>
          <w:shd w:val="clear" w:color="auto" w:fill="FFFFFF"/>
        </w:rPr>
        <w:t>∞”</w:t>
      </w:r>
      <w:r w:rsidRPr="00F043B4">
        <w:t>)</w:t>
      </w:r>
    </w:p>
    <w:bookmarkEnd w:id="0"/>
    <w:p w14:paraId="19F749EC" w14:textId="77777777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Wszystkie elementy składowe agregatu muszą być dopuszczone do użytkowania na terenie Unii Europejskiej</w:t>
      </w:r>
    </w:p>
    <w:p w14:paraId="3EDBADE3" w14:textId="77777777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Obudowa agregatu metalowa dźwiękochłonna, wykończona lakierem proszkowym, zabezpieczona antykorozyjnie. Dostęp poprzez drzwi serwisowe z zamknięciem na klucz</w:t>
      </w:r>
    </w:p>
    <w:p w14:paraId="0CAABE6D" w14:textId="77777777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Częstotliwość znamionowa: 50 Hz </w:t>
      </w:r>
    </w:p>
    <w:p w14:paraId="0D5810BA" w14:textId="3332E19C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lastRenderedPageBreak/>
        <w:t xml:space="preserve">Napięcie znamionowe wyjściowe: 400V / 230 V – oba dostępne; kontrola napięcia na 3 fazach, stabilność napięcia +/- </w:t>
      </w:r>
      <w:r w:rsidR="00C90834" w:rsidRPr="00F043B4">
        <w:t>1</w:t>
      </w:r>
      <w:r w:rsidRPr="00F043B4">
        <w:t>%</w:t>
      </w:r>
    </w:p>
    <w:p w14:paraId="6B538362" w14:textId="6F5369A0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Klasa wykonania zgodnie z aktualnym ISO 8528: G</w:t>
      </w:r>
      <w:r w:rsidR="00AF2E7C" w:rsidRPr="00F043B4">
        <w:t>2</w:t>
      </w:r>
      <w:r w:rsidR="00FC2E63">
        <w:t xml:space="preserve"> (lub normą równoważną)</w:t>
      </w:r>
    </w:p>
    <w:p w14:paraId="7DE4436E" w14:textId="77777777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Parametry minimalne silnika w agregacie:</w:t>
      </w:r>
    </w:p>
    <w:p w14:paraId="38FBC47A" w14:textId="47524D1B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Rodzaj: wysokoprężny Diesla</w:t>
      </w:r>
      <w:r w:rsidR="00742DEB" w:rsidRPr="00F043B4">
        <w:t>, chłodzony cieczą;</w:t>
      </w:r>
      <w:r w:rsidRPr="00F043B4">
        <w:t xml:space="preserve"> zakres pracy, co najmniej  od -30° C do</w:t>
      </w:r>
      <w:r w:rsidR="00E54BBF" w:rsidRPr="00F043B4">
        <w:t> </w:t>
      </w:r>
      <w:r w:rsidRPr="00F043B4">
        <w:t xml:space="preserve">+50° C </w:t>
      </w:r>
    </w:p>
    <w:p w14:paraId="1B882D92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Elektroniczny regulator obrotów, standardowa praca silnika poniżej 1600 obr./min.</w:t>
      </w:r>
    </w:p>
    <w:p w14:paraId="524905F1" w14:textId="438E1D7E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Poziom hałasu: nie może przekraczać poziomu określonego w Rozporządzeniu Ministra Gospodarki z 21.12.2005 r w sprawie zasadniczych wymagań dla urządzeń używanych na</w:t>
      </w:r>
      <w:r w:rsidR="00B90EB1" w:rsidRPr="00F043B4">
        <w:t> </w:t>
      </w:r>
      <w:r w:rsidRPr="00F043B4">
        <w:t>zewnątrz pomieszczeń w zakresie emisji hałasu do środowiska (Dz.U.05.20063.2202 ze</w:t>
      </w:r>
      <w:r w:rsidR="00B90EB1" w:rsidRPr="00F043B4">
        <w:t> </w:t>
      </w:r>
      <w:r w:rsidRPr="00F043B4">
        <w:t>zmianami określonymi w Dz.U.06.32.223)</w:t>
      </w:r>
    </w:p>
    <w:p w14:paraId="5675C877" w14:textId="7FF405D8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Zbiornik paliwa:</w:t>
      </w:r>
      <w:r w:rsidR="00F56BBD" w:rsidRPr="00F043B4">
        <w:t xml:space="preserve"> </w:t>
      </w:r>
      <w:r w:rsidRPr="00F043B4">
        <w:t>zintegrowany z ramą i posiadający komor</w:t>
      </w:r>
      <w:r w:rsidR="006A2E67" w:rsidRPr="00F043B4">
        <w:t>ę/komory</w:t>
      </w:r>
      <w:r w:rsidRPr="00F043B4">
        <w:t xml:space="preserve"> do zabezpieczenia wycieku paliwa w przypadku uszkodzenia mechanicznego</w:t>
      </w:r>
    </w:p>
    <w:p w14:paraId="7F9855DE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Możliwość tankowania podczas pracy</w:t>
      </w:r>
    </w:p>
    <w:p w14:paraId="12232149" w14:textId="12FCC444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Wlew paliwa na zewnątrz obudowy, zamykany na kluczyk </w:t>
      </w:r>
      <w:r w:rsidR="00742DEB" w:rsidRPr="00F043B4">
        <w:t>lub wewnątrz – z dostępem poprzez drzwi serwisowe</w:t>
      </w:r>
    </w:p>
    <w:p w14:paraId="68C095E7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Filtr paliwa z funkcją separacji wody</w:t>
      </w:r>
    </w:p>
    <w:p w14:paraId="247B0046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tłumik i kondensator drgań układu wydechowego</w:t>
      </w:r>
    </w:p>
    <w:p w14:paraId="1DC63A93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Odłącznik akumulatora</w:t>
      </w:r>
    </w:p>
    <w:p w14:paraId="58C1D545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Automatyczne wyłączenie silnika w przypadku przekroczenia temperatury silnika</w:t>
      </w:r>
    </w:p>
    <w:p w14:paraId="1F1F96EE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Automatyczne wyłączenie silnika w przypadku przekroczenia założonej prędkości pracy silnika</w:t>
      </w:r>
    </w:p>
    <w:p w14:paraId="54DC1AB4" w14:textId="401470F9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Automatyczne wyłączenie silnika w przypadku zbyt niskiego ciśnienia oleju w silniku</w:t>
      </w:r>
    </w:p>
    <w:p w14:paraId="69E722D3" w14:textId="77777777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Parametry minimalne prądnicy w agregacie:</w:t>
      </w:r>
    </w:p>
    <w:p w14:paraId="632FEB84" w14:textId="4B2A6A76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Prądnica synchroniczna z AVR</w:t>
      </w:r>
    </w:p>
    <w:p w14:paraId="406B1240" w14:textId="07CEF705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Regulacja napięcia: elektroniczna</w:t>
      </w:r>
    </w:p>
    <w:p w14:paraId="66A7FF48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Dokładność regulacji: +/- 0,25%</w:t>
      </w:r>
    </w:p>
    <w:p w14:paraId="55F96BC9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Współczynnik mocy cosφ=0,8</w:t>
      </w:r>
    </w:p>
    <w:p w14:paraId="5CA8D6CF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Typ połączeń: gwiazda</w:t>
      </w:r>
    </w:p>
    <w:p w14:paraId="5445A667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Uzwojenie: odporne na środowisko wilgotne i słone</w:t>
      </w:r>
    </w:p>
    <w:p w14:paraId="0F0DAA24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Izolacja uzwojenia, wirnika i stojana klasy H</w:t>
      </w:r>
    </w:p>
    <w:p w14:paraId="1A44F010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Ochrona IP23</w:t>
      </w:r>
    </w:p>
    <w:p w14:paraId="61BA4624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Technologia bezszczotkowa</w:t>
      </w:r>
    </w:p>
    <w:p w14:paraId="4221B2FD" w14:textId="3BC85D64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Sprawność </w:t>
      </w:r>
      <w:r w:rsidR="000A5EB0" w:rsidRPr="00F043B4">
        <w:t>88</w:t>
      </w:r>
      <w:r w:rsidRPr="00F043B4">
        <w:t>%</w:t>
      </w:r>
    </w:p>
    <w:p w14:paraId="21DC5A92" w14:textId="4AA2928A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Krótkotrwała </w:t>
      </w:r>
      <w:r w:rsidR="00F84800" w:rsidRPr="00F043B4">
        <w:t xml:space="preserve">(10 sekund) </w:t>
      </w:r>
      <w:r w:rsidRPr="00F043B4">
        <w:t xml:space="preserve">wytrzymałość na przeciążenia: </w:t>
      </w:r>
      <w:r w:rsidR="00F84800" w:rsidRPr="00F043B4">
        <w:t>25</w:t>
      </w:r>
      <w:r w:rsidRPr="00F043B4">
        <w:t xml:space="preserve">0 % In </w:t>
      </w:r>
    </w:p>
    <w:p w14:paraId="1D8B5188" w14:textId="57AF4C73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THD: &lt; </w:t>
      </w:r>
      <w:r w:rsidR="005A1F18" w:rsidRPr="00F043B4">
        <w:t>6</w:t>
      </w:r>
      <w:r w:rsidRPr="00F043B4">
        <w:t xml:space="preserve"> %</w:t>
      </w:r>
    </w:p>
    <w:p w14:paraId="04C3949E" w14:textId="77777777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Zespół silnik – prądnica posadowiony na wibroizolatorach drgań</w:t>
      </w:r>
    </w:p>
    <w:p w14:paraId="6C9AC9FC" w14:textId="0F3EE32E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bookmarkStart w:id="1" w:name="_Hlk221873230"/>
      <w:r w:rsidRPr="00F043B4">
        <w:t>Parametry minimalne sterownika:</w:t>
      </w:r>
    </w:p>
    <w:p w14:paraId="0943A7B6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Umożliwienie rozruchu ręcznego i automatycznego</w:t>
      </w:r>
    </w:p>
    <w:p w14:paraId="45536993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lastRenderedPageBreak/>
        <w:t>Wyłącznik główny 4-polowy, wyłącznik awaryjny</w:t>
      </w:r>
    </w:p>
    <w:p w14:paraId="7FFBF53E" w14:textId="3C1C35F1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Trwale zamontowane tabliczki z opisami </w:t>
      </w:r>
      <w:r w:rsidR="005D2AD9" w:rsidRPr="00F043B4">
        <w:t xml:space="preserve">graficznymi i/lub </w:t>
      </w:r>
      <w:r w:rsidRPr="00F043B4">
        <w:t>w języku angielskim dotyczące: tablicy sterowniczej, zabezpieczenia agregatu i wyłącznika głównego prądnicy</w:t>
      </w:r>
    </w:p>
    <w:p w14:paraId="7FFC3BD6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Menu sterownika w języku angielskim oraz, jeśli dostępne, w języku polskim</w:t>
      </w:r>
    </w:p>
    <w:bookmarkEnd w:id="1"/>
    <w:p w14:paraId="0A908BBD" w14:textId="075CD727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Agregat</w:t>
      </w:r>
      <w:r w:rsidR="005D2AD9" w:rsidRPr="00F043B4">
        <w:t xml:space="preserve"> z uziemieniem lub</w:t>
      </w:r>
      <w:r w:rsidRPr="00F043B4">
        <w:t xml:space="preserve"> </w:t>
      </w:r>
      <w:r w:rsidR="005D2AD9" w:rsidRPr="00F043B4">
        <w:t>dostarczony z akcesoriami niezbędnymi do jego uziemienia.</w:t>
      </w:r>
    </w:p>
    <w:p w14:paraId="6C26E4FE" w14:textId="6E08125D" w:rsidR="005D2AD9" w:rsidRPr="00F043B4" w:rsidRDefault="005D2AD9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Akumulator rozruchowy bezobsługowy o odpowiedniej pojemności zapewniającej co</w:t>
      </w:r>
      <w:r w:rsidR="00E54BBF" w:rsidRPr="00F043B4">
        <w:t> </w:t>
      </w:r>
      <w:r w:rsidRPr="00F043B4">
        <w:t>najmniej 3 próby rozruchu bez doładowania, o parametrach odpowiadających zastosowanemu silnikow</w:t>
      </w:r>
      <w:r w:rsidR="008822DF" w:rsidRPr="00F043B4">
        <w:t>i.</w:t>
      </w:r>
    </w:p>
    <w:p w14:paraId="76809906" w14:textId="4B4472F4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Przeglądy i konserwacje agregatu</w:t>
      </w:r>
      <w:r w:rsidR="00E01EB4">
        <w:t xml:space="preserve"> (w ramach zamówienia podstawowego i/lub w ramach prawa opcji)</w:t>
      </w:r>
      <w:r w:rsidRPr="00F043B4">
        <w:t>:</w:t>
      </w:r>
    </w:p>
    <w:p w14:paraId="3E7B7457" w14:textId="40C11523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Na terenie </w:t>
      </w:r>
      <w:r w:rsidR="002C3029">
        <w:t>UE</w:t>
      </w:r>
      <w:r w:rsidR="002C3029" w:rsidRPr="00F043B4">
        <w:t xml:space="preserve"> </w:t>
      </w:r>
      <w:r w:rsidRPr="00F043B4">
        <w:t>znajduj</w:t>
      </w:r>
      <w:r w:rsidR="00100D1E" w:rsidRPr="00F043B4">
        <w:t xml:space="preserve">e </w:t>
      </w:r>
      <w:r w:rsidRPr="00F043B4">
        <w:t>się jednostk</w:t>
      </w:r>
      <w:r w:rsidR="00100D1E" w:rsidRPr="00F043B4">
        <w:t>a</w:t>
      </w:r>
      <w:r w:rsidRPr="00F043B4">
        <w:t xml:space="preserve"> organizacyjn</w:t>
      </w:r>
      <w:r w:rsidR="00100D1E" w:rsidRPr="00F043B4">
        <w:t>a</w:t>
      </w:r>
      <w:r w:rsidRPr="00F043B4">
        <w:t xml:space="preserve"> Wykonawcy wykonując</w:t>
      </w:r>
      <w:r w:rsidR="00100D1E" w:rsidRPr="00F043B4">
        <w:t>a</w:t>
      </w:r>
      <w:r w:rsidRPr="00F043B4">
        <w:t xml:space="preserve"> serwis (przeglądy, konserwacje, naprawy)</w:t>
      </w:r>
      <w:r w:rsidR="00100D1E" w:rsidRPr="00F043B4">
        <w:t xml:space="preserve"> oferowanego</w:t>
      </w:r>
      <w:r w:rsidRPr="00F043B4">
        <w:t xml:space="preserve"> agregat</w:t>
      </w:r>
      <w:r w:rsidR="00100D1E" w:rsidRPr="00F043B4">
        <w:t>u</w:t>
      </w:r>
      <w:r w:rsidRPr="00F043B4">
        <w:t xml:space="preserve"> lub autoryzowan</w:t>
      </w:r>
      <w:r w:rsidR="00100D1E" w:rsidRPr="00F043B4">
        <w:t>a</w:t>
      </w:r>
      <w:r w:rsidRPr="00F043B4">
        <w:t xml:space="preserve"> </w:t>
      </w:r>
      <w:r w:rsidR="00100D1E" w:rsidRPr="00F043B4">
        <w:t>przez</w:t>
      </w:r>
      <w:r w:rsidR="00E54BBF" w:rsidRPr="00F043B4">
        <w:t> </w:t>
      </w:r>
      <w:r w:rsidR="00100D1E" w:rsidRPr="00F043B4">
        <w:t xml:space="preserve">producenta agregatu </w:t>
      </w:r>
      <w:r w:rsidRPr="00F043B4">
        <w:t>jednostk</w:t>
      </w:r>
      <w:r w:rsidR="00100D1E" w:rsidRPr="00F043B4">
        <w:t>a</w:t>
      </w:r>
      <w:r w:rsidRPr="00F043B4">
        <w:t xml:space="preserve"> organizacyjn</w:t>
      </w:r>
      <w:r w:rsidR="00100D1E" w:rsidRPr="00F043B4">
        <w:t>a</w:t>
      </w:r>
      <w:r w:rsidRPr="00F043B4">
        <w:t xml:space="preserve"> wykonując</w:t>
      </w:r>
      <w:r w:rsidR="00100D1E" w:rsidRPr="00F043B4">
        <w:t>a</w:t>
      </w:r>
      <w:r w:rsidRPr="00F043B4">
        <w:t xml:space="preserve"> </w:t>
      </w:r>
      <w:r w:rsidR="00100D1E" w:rsidRPr="00F043B4">
        <w:t>jego serwisowanie</w:t>
      </w:r>
    </w:p>
    <w:p w14:paraId="212AFC82" w14:textId="4A54B5A8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W okresie gwarancji</w:t>
      </w:r>
      <w:r w:rsidR="002C3029">
        <w:t xml:space="preserve"> (objętej zamówieniem podstawowym i/lub w ramach prawa opcji)</w:t>
      </w:r>
      <w:r w:rsidRPr="00F043B4">
        <w:t>, Wykonawca, po upływie czasu przewidzianego przez producenta do</w:t>
      </w:r>
      <w:r w:rsidR="00E54BBF" w:rsidRPr="00F043B4">
        <w:t> </w:t>
      </w:r>
      <w:r w:rsidRPr="00F043B4">
        <w:t>pierwszego przeglądu, jednak nie później niż po upływie pierwszych 12 miesięcy +/- 1</w:t>
      </w:r>
      <w:r w:rsidR="000A5EB0" w:rsidRPr="00F043B4">
        <w:t>5</w:t>
      </w:r>
      <w:r w:rsidRPr="00F043B4">
        <w:t xml:space="preserve"> dni roboczych licząc od dnia podpisania protokołu odbioru agregatu przez Zamawiającego i kolejnych wielokrotności tego czasu lub interwałów przewidzianych przez producenta – w zależności od tego, co będzie następować częściej, będzie dokonywał przeglądów okresowych i czynności konserwacyjnych agregatu swoim staraniem i na swój koszt, zgodnie z zaleceniami producenta </w:t>
      </w:r>
      <w:r w:rsidR="00E22DC6">
        <w:t>w miejscu przechowywania agregatów</w:t>
      </w:r>
      <w:r w:rsidRPr="00F043B4">
        <w:t>, obejmujący: robociznę, materiały, sprzęt i dojazd. Zakres przeglądów i konserwacji będzie obejmował:</w:t>
      </w:r>
    </w:p>
    <w:p w14:paraId="0925C4F9" w14:textId="1CFE8C78" w:rsidR="00F67E4E" w:rsidRPr="00F043B4" w:rsidRDefault="00F67E4E" w:rsidP="00F043B4">
      <w:pPr>
        <w:numPr>
          <w:ilvl w:val="2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po upływie 12 miesięcy (lub </w:t>
      </w:r>
      <w:r w:rsidR="002C4805" w:rsidRPr="00F043B4">
        <w:t xml:space="preserve">krótszego </w:t>
      </w:r>
      <w:r w:rsidRPr="00F043B4">
        <w:t xml:space="preserve">czasu, o którym mowa powyżej): </w:t>
      </w:r>
      <w:r w:rsidR="002C4805" w:rsidRPr="00F043B4">
        <w:t>zgodnie z</w:t>
      </w:r>
      <w:r w:rsidR="00E54BBF" w:rsidRPr="00F043B4">
        <w:t> </w:t>
      </w:r>
      <w:r w:rsidR="002C4805" w:rsidRPr="00F043B4">
        <w:t>zaleceniami producenta, bez uwzględniania</w:t>
      </w:r>
      <w:r w:rsidRPr="00F043B4">
        <w:t xml:space="preserve"> </w:t>
      </w:r>
      <w:r w:rsidR="002C4805" w:rsidRPr="00F043B4">
        <w:t>kosztu</w:t>
      </w:r>
      <w:r w:rsidRPr="00F043B4">
        <w:t xml:space="preserve"> oleju silnikowego</w:t>
      </w:r>
      <w:r w:rsidR="002C4805" w:rsidRPr="00F043B4">
        <w:t>,</w:t>
      </w:r>
      <w:r w:rsidRPr="00F043B4">
        <w:t> filtra oleju silnikowego</w:t>
      </w:r>
      <w:r w:rsidR="002C4805" w:rsidRPr="00F043B4">
        <w:t>,</w:t>
      </w:r>
      <w:r w:rsidRPr="00F043B4">
        <w:t xml:space="preserve"> filtra paliwa</w:t>
      </w:r>
      <w:r w:rsidR="002C4805" w:rsidRPr="00F043B4">
        <w:t xml:space="preserve"> oraz innych materiałów eksploatacyjnych niezbędnych do</w:t>
      </w:r>
      <w:r w:rsidR="00E54BBF" w:rsidRPr="00F043B4">
        <w:t> </w:t>
      </w:r>
      <w:r w:rsidR="002C4805" w:rsidRPr="00F043B4">
        <w:t>wymiany tylko w przypadku przeglądu wynikającego z ilości przepracowanych motogodzin</w:t>
      </w:r>
      <w:r w:rsidRPr="00F043B4">
        <w:t xml:space="preserve"> </w:t>
      </w:r>
    </w:p>
    <w:p w14:paraId="3345B339" w14:textId="528306BF" w:rsidR="00F67E4E" w:rsidRPr="00F043B4" w:rsidRDefault="00F67E4E" w:rsidP="00F043B4">
      <w:pPr>
        <w:numPr>
          <w:ilvl w:val="2"/>
          <w:numId w:val="13"/>
        </w:numPr>
        <w:autoSpaceDE w:val="0"/>
        <w:autoSpaceDN w:val="0"/>
        <w:spacing w:line="288" w:lineRule="auto"/>
        <w:jc w:val="both"/>
      </w:pPr>
      <w:r w:rsidRPr="00F043B4">
        <w:t>po upływie  24 miesięcy (lub</w:t>
      </w:r>
      <w:r w:rsidR="002C4805" w:rsidRPr="00F043B4">
        <w:t xml:space="preserve"> krótszego</w:t>
      </w:r>
      <w:r w:rsidRPr="00F043B4">
        <w:t xml:space="preserve"> czasu, o którym mowa powyżej): </w:t>
      </w:r>
      <w:r w:rsidR="002C4805" w:rsidRPr="00F043B4">
        <w:t>zgodnie z</w:t>
      </w:r>
      <w:r w:rsidR="00E54BBF" w:rsidRPr="00F043B4">
        <w:t> </w:t>
      </w:r>
      <w:r w:rsidR="002C4805" w:rsidRPr="00F043B4">
        <w:t>zaleceniami producenta, bez uwzględniania kosztu oleju silnikowego, filtra oleju silnikowego, filtra paliwa oraz innych materiałów eksploatacyjnych niezbędnych do</w:t>
      </w:r>
      <w:r w:rsidR="00E54BBF" w:rsidRPr="00F043B4">
        <w:t> </w:t>
      </w:r>
      <w:r w:rsidR="002C4805" w:rsidRPr="00F043B4">
        <w:t xml:space="preserve">wymiany tylko w przypadku przeglądu wynikającego z ilości przepracowanych motogodzin, ale z uwzględnieniem wymiany </w:t>
      </w:r>
      <w:r w:rsidRPr="00F043B4">
        <w:t>pasków klinowych</w:t>
      </w:r>
    </w:p>
    <w:p w14:paraId="62D36934" w14:textId="50C25629" w:rsidR="00F67E4E" w:rsidRPr="00F043B4" w:rsidRDefault="00F67E4E" w:rsidP="00F043B4">
      <w:pPr>
        <w:numPr>
          <w:ilvl w:val="2"/>
          <w:numId w:val="13"/>
        </w:numPr>
        <w:autoSpaceDE w:val="0"/>
        <w:autoSpaceDN w:val="0"/>
        <w:spacing w:line="288" w:lineRule="auto"/>
        <w:jc w:val="both"/>
      </w:pPr>
      <w:r w:rsidRPr="00F043B4">
        <w:t>dalej w kolejnych latach według zasad</w:t>
      </w:r>
      <w:r w:rsidR="002C4805" w:rsidRPr="00F043B4">
        <w:t xml:space="preserve"> jak dla przeglądu po upływie 12 </w:t>
      </w:r>
      <w:r w:rsidR="00100D1E" w:rsidRPr="00F043B4">
        <w:t>miesięcy</w:t>
      </w:r>
      <w:r w:rsidRPr="00F043B4">
        <w:t>.</w:t>
      </w:r>
    </w:p>
    <w:p w14:paraId="7ED9AFD4" w14:textId="22C2C735" w:rsidR="00F67E4E" w:rsidRPr="00F043B4" w:rsidRDefault="000A5EB0" w:rsidP="00F043B4">
      <w:pPr>
        <w:autoSpaceDE w:val="0"/>
        <w:autoSpaceDN w:val="0"/>
        <w:spacing w:line="288" w:lineRule="auto"/>
        <w:jc w:val="both"/>
      </w:pPr>
      <w:r w:rsidRPr="00F043B4">
        <w:t>Jednocześnie</w:t>
      </w:r>
      <w:r w:rsidR="00F67E4E" w:rsidRPr="00F043B4">
        <w:t>, Wykonawca zapewnia, że Zamawiający zachowa skuteczność swoich roszczeń gwarancyjnych</w:t>
      </w:r>
      <w:r w:rsidR="00E96BAF" w:rsidRPr="00F043B4">
        <w:t xml:space="preserve"> przy zachowaniu założeń niniejszego punktu, a także, gdy przegląd zostanie przeprowadzony po przekroczeniu  o nie więcej niż 10% wymaganej do przeprowadzenia danego przeglądu liczby motogodzin – liczonej jako różnica aktualnej liczby motogodzin i</w:t>
      </w:r>
      <w:r w:rsidR="00E54BBF" w:rsidRPr="00F043B4">
        <w:t> </w:t>
      </w:r>
      <w:r w:rsidR="00E96BAF" w:rsidRPr="00F043B4">
        <w:t>liczby motogodzin przy przeglądzie poprzedzającym lub, dla pierwszego przeglądu, aktualnej liczby motogodzin i liczby motogodzin na dzień dostawy</w:t>
      </w:r>
      <w:r w:rsidR="00E8363A" w:rsidRPr="00F043B4">
        <w:t xml:space="preserve"> agregatu</w:t>
      </w:r>
      <w:r w:rsidR="00E96BAF" w:rsidRPr="00F043B4">
        <w:t>.</w:t>
      </w:r>
    </w:p>
    <w:p w14:paraId="531DCCCC" w14:textId="18236046" w:rsidR="002C3029" w:rsidRDefault="000769F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2C3029">
        <w:rPr>
          <w:b/>
          <w:bCs/>
        </w:rPr>
        <w:lastRenderedPageBreak/>
        <w:t xml:space="preserve">Gwarancja </w:t>
      </w:r>
      <w:r w:rsidR="002C3029" w:rsidRPr="002C3029">
        <w:rPr>
          <w:b/>
          <w:bCs/>
        </w:rPr>
        <w:t>w ramach zamówienia podstawowego</w:t>
      </w:r>
      <w:r w:rsidR="002C3029">
        <w:t xml:space="preserve">: gwarancja producenta oraz gwarancja Wykonawcy udzielna na okres nie krótszy niż 24 miesiące od dnia dostawy agregatów prądotwórczych lub do dnia </w:t>
      </w:r>
      <w:r w:rsidR="002C3029" w:rsidRPr="00F043B4">
        <w:t>(włącznie), po którym łączny czas pracy agregatu przekroczy 1.000 motogodzin – w zależności od tego, co nastąpi wcześniej</w:t>
      </w:r>
      <w:r w:rsidR="002C3029">
        <w:t xml:space="preserve">. </w:t>
      </w:r>
    </w:p>
    <w:p w14:paraId="0F5EE63E" w14:textId="45941807" w:rsidR="002C3029" w:rsidRDefault="002C3029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2C3029">
        <w:rPr>
          <w:b/>
          <w:bCs/>
        </w:rPr>
        <w:t>Gwarancja w ramach prawa opcji</w:t>
      </w:r>
      <w:r>
        <w:t xml:space="preserve">: Zamawiający przewiduje możliwość skorzystania z prawa opcji polegającego na przedłużenie świadczeń objętych gwarancją jakości  udzieloną przez Wykonawcę o okres od dnia wygaśnięcia gwarancji jakości udzielonej w ramach zamówienia podstawowego do dnia 31 grudnia 2029 roku włącznie lub do dnia (włącznie), po którym łączny czas pracy agregatu przekroczy </w:t>
      </w:r>
      <w:r w:rsidR="004F61F9">
        <w:t>1000</w:t>
      </w:r>
      <w:r>
        <w:t xml:space="preserve"> motogodzin. Zakres świadczeń gwarancyjnych objętych prawem opcji pozostaje tożsamy z zakresem świadczeń gwarancyjnych objętych zamówieniem podstawowym.</w:t>
      </w:r>
    </w:p>
    <w:p w14:paraId="003B58AC" w14:textId="6F278753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Wszelkie usterki powstałe w agregacie wskutek ewentualnego pogorszenia się jakości paliwa będą usuwane w ramach gwarancji. Zamawiający oświadcza, że</w:t>
      </w:r>
      <w:r w:rsidR="00B90EB1" w:rsidRPr="00F043B4">
        <w:t> </w:t>
      </w:r>
      <w:r w:rsidRPr="00F043B4">
        <w:t>stosuje do agregatów wyłącznie paliwo dostępne w sprzedaży detalicznej na stacjach paliw, spełniające wymogi normy PN-EN 590</w:t>
      </w:r>
      <w:r w:rsidR="00FC2E63">
        <w:t>.</w:t>
      </w:r>
      <w:r w:rsidRPr="00F043B4">
        <w:tab/>
      </w:r>
    </w:p>
    <w:p w14:paraId="66FC96E8" w14:textId="1C07BACB" w:rsidR="00D041B6" w:rsidRPr="00F043B4" w:rsidRDefault="00D041B6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Wykonawca zapewni próbne uruchomienie agregatu i dostarczy tylko takie agregaty, które pozytywnie przeszły takie uruchomienie – wszystkie parametry zgodne ze specyfikacją, brak uszkodzeń, przy czym, przed dostarczeniem, zapewni usunięcie płynów eksploatacyjnych – przywrócenie w tym zakresie do stanu sprzed próbnego uruchomienia. Próbne uruchomienie nie może przekroczyć </w:t>
      </w:r>
      <w:r w:rsidR="002A3AB9" w:rsidRPr="00F043B4">
        <w:t>24</w:t>
      </w:r>
      <w:r w:rsidRPr="00F043B4">
        <w:t xml:space="preserve"> motogodzin</w:t>
      </w:r>
    </w:p>
    <w:p w14:paraId="7FC56D50" w14:textId="283E2DBD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Dokumenty w formie elektronicznej i/lub papierowej, w języku angielskim</w:t>
      </w:r>
      <w:r w:rsidR="002A3AB9" w:rsidRPr="00F043B4">
        <w:t xml:space="preserve"> oraz, jeśli dostępne, w języku polskim</w:t>
      </w:r>
      <w:r w:rsidR="00FC2E63">
        <w:t>:</w:t>
      </w:r>
    </w:p>
    <w:p w14:paraId="53FF840F" w14:textId="77777777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Deklaracja zgodności</w:t>
      </w:r>
    </w:p>
    <w:p w14:paraId="791C0689" w14:textId="0F2CC22C" w:rsidR="00F67E4E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Instrukcja obsługi agregatu, określająca warunki jego konserwacji i okresowego uruchamiania po przepracowaniu określonej ilości motogodzin lub po upływie określonego czasu w celu utrzymania ich w pełnej  sprawności technicznej. </w:t>
      </w:r>
      <w:r w:rsidRPr="00F043B4">
        <w:tab/>
        <w:t xml:space="preserve"> </w:t>
      </w:r>
    </w:p>
    <w:p w14:paraId="2E17045F" w14:textId="7D266BE2" w:rsidR="00D041B6" w:rsidRPr="00F043B4" w:rsidRDefault="00D041B6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 xml:space="preserve"> Oznakowanie CE – Conformité Européenne.</w:t>
      </w:r>
    </w:p>
    <w:p w14:paraId="4333BD64" w14:textId="0A565C13" w:rsidR="00F67E4E" w:rsidRPr="00F043B4" w:rsidRDefault="00F67E4E" w:rsidP="00F043B4">
      <w:pPr>
        <w:numPr>
          <w:ilvl w:val="0"/>
          <w:numId w:val="13"/>
        </w:numPr>
        <w:autoSpaceDE w:val="0"/>
        <w:autoSpaceDN w:val="0"/>
        <w:spacing w:line="288" w:lineRule="auto"/>
        <w:jc w:val="both"/>
      </w:pPr>
      <w:r w:rsidRPr="00F043B4">
        <w:t>Dodatkowe oznakowanie. W związku z realizacją zamówienia ze środków UE, konieczne jest odpowiednie oznakowanie przez Wykonawcę przedmiotu zamówienia, w formie:</w:t>
      </w:r>
    </w:p>
    <w:p w14:paraId="5C05B46A" w14:textId="388BCDAC" w:rsidR="002A3AB9" w:rsidRPr="00F043B4" w:rsidRDefault="00F67E4E" w:rsidP="00F043B4">
      <w:pPr>
        <w:numPr>
          <w:ilvl w:val="1"/>
          <w:numId w:val="13"/>
        </w:numPr>
        <w:autoSpaceDE w:val="0"/>
        <w:autoSpaceDN w:val="0"/>
        <w:spacing w:line="288" w:lineRule="auto"/>
        <w:jc w:val="both"/>
      </w:pPr>
      <w:r w:rsidRPr="00F043B4">
        <w:t>naklejki umieszczonej na każdym agregacie</w:t>
      </w:r>
      <w:r w:rsidR="002A3AB9" w:rsidRPr="00F043B4">
        <w:t>,</w:t>
      </w:r>
      <w:r w:rsidRPr="00F043B4">
        <w:t xml:space="preserve"> opakowaniu</w:t>
      </w:r>
      <w:r w:rsidR="002A3AB9" w:rsidRPr="00F043B4">
        <w:t xml:space="preserve"> oraz opakowaniu zbiorczym</w:t>
      </w:r>
      <w:r w:rsidRPr="00F043B4">
        <w:t>, jeśli</w:t>
      </w:r>
      <w:r w:rsidR="002A3AB9" w:rsidRPr="00F043B4">
        <w:t xml:space="preserve"> występują</w:t>
      </w:r>
      <w:r w:rsidRPr="00F043B4">
        <w:t>. Naklejka co najmniej laminowana, odporna na wodę, zarysowania i</w:t>
      </w:r>
      <w:r w:rsidR="00B90EB1" w:rsidRPr="00F043B4">
        <w:t> </w:t>
      </w:r>
      <w:r w:rsidRPr="00F043B4">
        <w:t>promieniowanie UV, kolorystyka CMYK 4/0, białe tło, wysokość co najmniej</w:t>
      </w:r>
      <w:r w:rsidR="002A3AB9" w:rsidRPr="00F043B4">
        <w:t>:</w:t>
      </w:r>
      <w:r w:rsidRPr="00F043B4">
        <w:t xml:space="preserve"> 20 cm</w:t>
      </w:r>
      <w:r w:rsidR="002A3AB9" w:rsidRPr="00F043B4">
        <w:t xml:space="preserve"> – dla Wariantu I lub 10 cm – dla Wariantu II,</w:t>
      </w:r>
    </w:p>
    <w:p w14:paraId="113E8DB9" w14:textId="2D602204" w:rsidR="00F67E4E" w:rsidRPr="00F043B4" w:rsidRDefault="00F67E4E" w:rsidP="00F043B4">
      <w:pPr>
        <w:autoSpaceDE w:val="0"/>
        <w:autoSpaceDN w:val="0"/>
        <w:spacing w:line="288" w:lineRule="auto"/>
        <w:ind w:left="360"/>
        <w:jc w:val="both"/>
      </w:pPr>
      <w:r w:rsidRPr="00F043B4">
        <w:t>z</w:t>
      </w:r>
      <w:r w:rsidR="00B90EB1" w:rsidRPr="00F043B4">
        <w:t> </w:t>
      </w:r>
      <w:r w:rsidRPr="00F043B4">
        <w:t>zachowaniem proporcji poniższej grafiki, margines z każdej strony 1 cm. Do</w:t>
      </w:r>
      <w:r w:rsidR="00B90EB1" w:rsidRPr="00F043B4">
        <w:t> </w:t>
      </w:r>
      <w:r w:rsidRPr="00F043B4">
        <w:t>nadrukowania poniższa grafika:</w:t>
      </w:r>
    </w:p>
    <w:p w14:paraId="27B3EE48" w14:textId="77777777" w:rsidR="00E8363A" w:rsidRPr="00F043B4" w:rsidRDefault="00E8363A" w:rsidP="00F043B4">
      <w:pPr>
        <w:autoSpaceDE w:val="0"/>
        <w:autoSpaceDN w:val="0"/>
        <w:spacing w:line="288" w:lineRule="auto"/>
        <w:ind w:left="360"/>
        <w:jc w:val="both"/>
      </w:pPr>
    </w:p>
    <w:p w14:paraId="52FDD817" w14:textId="77777777" w:rsidR="002A3AB9" w:rsidRPr="00F043B4" w:rsidRDefault="002A3AB9" w:rsidP="00F043B4">
      <w:pPr>
        <w:pStyle w:val="Akapitzlist"/>
        <w:spacing w:line="288" w:lineRule="auto"/>
        <w:ind w:left="360" w:right="-180"/>
        <w:jc w:val="both"/>
        <w:rPr>
          <w:rFonts w:eastAsia="Arial"/>
        </w:rPr>
      </w:pPr>
      <w:r w:rsidRPr="00F043B4">
        <w:rPr>
          <w:rFonts w:eastAsia="Arial"/>
          <w:noProof/>
        </w:rPr>
        <w:lastRenderedPageBreak/>
        <w:drawing>
          <wp:inline distT="0" distB="0" distL="0" distR="0" wp14:anchorId="6F57C04C" wp14:editId="5B9BE62E">
            <wp:extent cx="773162" cy="962025"/>
            <wp:effectExtent l="0" t="0" r="8255" b="0"/>
            <wp:docPr id="87910315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0315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15" cy="97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43B4">
        <w:rPr>
          <w:rFonts w:eastAsia="Arial"/>
        </w:rPr>
        <w:tab/>
      </w:r>
      <w:r w:rsidRPr="00F043B4">
        <w:rPr>
          <w:rFonts w:eastAsia="Arial"/>
        </w:rPr>
        <w:tab/>
        <w:t>lub</w:t>
      </w:r>
      <w:r w:rsidRPr="00F043B4">
        <w:rPr>
          <w:rFonts w:eastAsia="Arial"/>
        </w:rPr>
        <w:tab/>
      </w:r>
      <w:r w:rsidRPr="00F043B4">
        <w:rPr>
          <w:rFonts w:eastAsia="Arial"/>
        </w:rPr>
        <w:tab/>
      </w:r>
      <w:r w:rsidRPr="00F043B4">
        <w:rPr>
          <w:rFonts w:eastAsia="Arial"/>
          <w:noProof/>
        </w:rPr>
        <w:drawing>
          <wp:inline distT="0" distB="0" distL="0" distR="0" wp14:anchorId="0296FFF9" wp14:editId="5D6A8C79">
            <wp:extent cx="3162300" cy="532627"/>
            <wp:effectExtent l="0" t="0" r="0" b="1270"/>
            <wp:docPr id="646925841" name="Obraz 3" descr="Obraz zawierający tekst, Czcionka, Jaskrawoniebieski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5841" name="Obraz 3" descr="Obraz zawierający tekst, Czcionka, Jaskrawoniebieski, zrzut ekranu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676" cy="5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C038" w14:textId="5349DF44" w:rsidR="002A3AB9" w:rsidRPr="00F043B4" w:rsidRDefault="002A3AB9" w:rsidP="00F043B4">
      <w:pPr>
        <w:pStyle w:val="Akapitzlist"/>
        <w:spacing w:line="288" w:lineRule="auto"/>
        <w:ind w:left="360" w:right="-180"/>
        <w:jc w:val="both"/>
        <w:rPr>
          <w:rFonts w:eastAsia="Arial"/>
        </w:rPr>
      </w:pPr>
      <w:r w:rsidRPr="00F043B4">
        <w:rPr>
          <w:rFonts w:eastAsia="Arial"/>
        </w:rPr>
        <w:t>Wariant I</w:t>
      </w:r>
      <w:r w:rsidRPr="00F043B4">
        <w:rPr>
          <w:rFonts w:eastAsia="Arial"/>
        </w:rPr>
        <w:tab/>
      </w:r>
      <w:r w:rsidRPr="00F043B4">
        <w:rPr>
          <w:rFonts w:eastAsia="Arial"/>
        </w:rPr>
        <w:tab/>
      </w:r>
      <w:r w:rsidRPr="00F043B4">
        <w:rPr>
          <w:rFonts w:eastAsia="Arial"/>
        </w:rPr>
        <w:tab/>
      </w:r>
      <w:r w:rsidRPr="00F043B4">
        <w:rPr>
          <w:rFonts w:eastAsia="Arial"/>
        </w:rPr>
        <w:tab/>
      </w:r>
      <w:r w:rsidRPr="00F043B4">
        <w:rPr>
          <w:rFonts w:eastAsia="Arial"/>
        </w:rPr>
        <w:tab/>
        <w:t xml:space="preserve">  Wariant II</w:t>
      </w:r>
    </w:p>
    <w:p w14:paraId="7C8D4786" w14:textId="77777777" w:rsidR="002A3AB9" w:rsidRPr="00F043B4" w:rsidRDefault="002A3AB9" w:rsidP="00F043B4">
      <w:pPr>
        <w:autoSpaceDE w:val="0"/>
        <w:autoSpaceDN w:val="0"/>
        <w:spacing w:line="288" w:lineRule="auto"/>
        <w:ind w:left="360"/>
        <w:jc w:val="both"/>
      </w:pPr>
    </w:p>
    <w:p w14:paraId="4658AA35" w14:textId="77777777" w:rsidR="00E8363A" w:rsidRPr="00F043B4" w:rsidRDefault="00E8363A" w:rsidP="002C3029">
      <w:pPr>
        <w:autoSpaceDE w:val="0"/>
        <w:autoSpaceDN w:val="0"/>
        <w:spacing w:line="288" w:lineRule="auto"/>
        <w:jc w:val="both"/>
      </w:pPr>
    </w:p>
    <w:p w14:paraId="14446CA0" w14:textId="77777777" w:rsidR="00742DEB" w:rsidRPr="00F043B4" w:rsidRDefault="00742DEB" w:rsidP="00F043B4">
      <w:pPr>
        <w:autoSpaceDE w:val="0"/>
        <w:autoSpaceDN w:val="0"/>
        <w:spacing w:line="288" w:lineRule="auto"/>
        <w:ind w:left="1440"/>
        <w:jc w:val="both"/>
      </w:pPr>
    </w:p>
    <w:p w14:paraId="08B9C570" w14:textId="50CB5BFA" w:rsidR="00742DEB" w:rsidRPr="00F043B4" w:rsidRDefault="00742DEB" w:rsidP="00F043B4">
      <w:pPr>
        <w:numPr>
          <w:ilvl w:val="0"/>
          <w:numId w:val="16"/>
        </w:numPr>
        <w:autoSpaceDE w:val="0"/>
        <w:autoSpaceDN w:val="0"/>
        <w:spacing w:line="288" w:lineRule="auto"/>
        <w:jc w:val="both"/>
        <w:rPr>
          <w:b/>
          <w:bCs/>
          <w:u w:val="single"/>
        </w:rPr>
      </w:pPr>
      <w:r w:rsidRPr="00F043B4">
        <w:rPr>
          <w:b/>
          <w:bCs/>
          <w:u w:val="single"/>
        </w:rPr>
        <w:t>Dodatkowe wymagania minimalne wspólne dla specjalistycznych agregatów prądotwórczych</w:t>
      </w:r>
      <w:r w:rsidR="002C3029">
        <w:rPr>
          <w:b/>
          <w:bCs/>
          <w:u w:val="single"/>
        </w:rPr>
        <w:t xml:space="preserve"> (zaoferowanie specjalistycznych agregatów prądotwórczych objęte zostanie kryterium oceny ofert)</w:t>
      </w:r>
      <w:r w:rsidRPr="00F043B4">
        <w:rPr>
          <w:b/>
          <w:bCs/>
          <w:u w:val="single"/>
        </w:rPr>
        <w:t>:</w:t>
      </w:r>
    </w:p>
    <w:p w14:paraId="10DCFBEF" w14:textId="0EE8DB90" w:rsidR="00742DEB" w:rsidRPr="00F043B4" w:rsidRDefault="00742DEB" w:rsidP="00F043B4">
      <w:pPr>
        <w:autoSpaceDE w:val="0"/>
        <w:autoSpaceDN w:val="0"/>
        <w:spacing w:line="288" w:lineRule="auto"/>
        <w:ind w:left="360"/>
        <w:jc w:val="both"/>
      </w:pPr>
      <w:r w:rsidRPr="00F043B4">
        <w:t>(</w:t>
      </w:r>
      <w:r w:rsidR="00E8363A" w:rsidRPr="00F043B4">
        <w:t xml:space="preserve">specjalistyczne </w:t>
      </w:r>
      <w:r w:rsidRPr="00F043B4">
        <w:t xml:space="preserve">agregaty </w:t>
      </w:r>
      <w:r w:rsidR="00E8363A" w:rsidRPr="00F043B4">
        <w:t>prądotwórcze</w:t>
      </w:r>
      <w:r w:rsidRPr="00F043B4">
        <w:t xml:space="preserve"> muszą spełniać zarówno wymagania z pkt. 2, jak</w:t>
      </w:r>
      <w:r w:rsidR="00E54BBF" w:rsidRPr="00F043B4">
        <w:t> </w:t>
      </w:r>
      <w:r w:rsidRPr="00F043B4">
        <w:t>i</w:t>
      </w:r>
      <w:r w:rsidR="00E54BBF" w:rsidRPr="00F043B4">
        <w:t> </w:t>
      </w:r>
      <w:r w:rsidRPr="00F043B4">
        <w:t>z</w:t>
      </w:r>
      <w:r w:rsidR="00E54BBF" w:rsidRPr="00F043B4">
        <w:t> </w:t>
      </w:r>
      <w:r w:rsidRPr="00F043B4">
        <w:t>niniejszego punktu</w:t>
      </w:r>
      <w:r w:rsidR="00C90834" w:rsidRPr="00F043B4">
        <w:t>, a w przypadku zdublowania kryteriów – bardziej rygorystyczne z nich</w:t>
      </w:r>
      <w:r w:rsidR="00424C3E" w:rsidRPr="00F043B4">
        <w:t>)</w:t>
      </w:r>
    </w:p>
    <w:p w14:paraId="04F331CE" w14:textId="4641EC5E" w:rsidR="00F67E4E" w:rsidRPr="00F043B4" w:rsidRDefault="00C90834" w:rsidP="00F043B4">
      <w:pPr>
        <w:pStyle w:val="Akapitzlist"/>
        <w:numPr>
          <w:ilvl w:val="0"/>
          <w:numId w:val="17"/>
        </w:numPr>
        <w:autoSpaceDE w:val="0"/>
        <w:autoSpaceDN w:val="0"/>
        <w:spacing w:line="288" w:lineRule="auto"/>
        <w:jc w:val="both"/>
      </w:pPr>
      <w:r w:rsidRPr="00F043B4">
        <w:t>Klasa wykonania zgodnie z aktualnym ISO 8528: G3</w:t>
      </w:r>
    </w:p>
    <w:p w14:paraId="7912187A" w14:textId="27A4665D" w:rsidR="00C90834" w:rsidRPr="00F043B4" w:rsidRDefault="00C90834" w:rsidP="00F043B4">
      <w:pPr>
        <w:pStyle w:val="Akapitzlist"/>
        <w:numPr>
          <w:ilvl w:val="0"/>
          <w:numId w:val="17"/>
        </w:numPr>
        <w:autoSpaceDE w:val="0"/>
        <w:autoSpaceDN w:val="0"/>
        <w:spacing w:line="288" w:lineRule="auto"/>
        <w:jc w:val="both"/>
      </w:pPr>
      <w:r w:rsidRPr="00F043B4">
        <w:t>stabilność napięcia +/- 0,5%</w:t>
      </w:r>
    </w:p>
    <w:p w14:paraId="51431244" w14:textId="77777777" w:rsidR="00C90834" w:rsidRPr="00F043B4" w:rsidRDefault="00C90834" w:rsidP="00F043B4">
      <w:pPr>
        <w:numPr>
          <w:ilvl w:val="0"/>
          <w:numId w:val="17"/>
        </w:numPr>
        <w:autoSpaceDE w:val="0"/>
        <w:autoSpaceDN w:val="0"/>
        <w:spacing w:line="288" w:lineRule="auto"/>
        <w:jc w:val="both"/>
      </w:pPr>
      <w:r w:rsidRPr="00F043B4">
        <w:t>Możliwość przeciążenia +10 % maksymalnie przez 1 godzinę na każde 12 godzin pracy</w:t>
      </w:r>
    </w:p>
    <w:p w14:paraId="0F3DB27A" w14:textId="77777777" w:rsidR="006A2E67" w:rsidRPr="00F043B4" w:rsidRDefault="006A2E67" w:rsidP="00F043B4">
      <w:pPr>
        <w:numPr>
          <w:ilvl w:val="0"/>
          <w:numId w:val="17"/>
        </w:numPr>
        <w:autoSpaceDE w:val="0"/>
        <w:autoSpaceDN w:val="0"/>
        <w:spacing w:line="288" w:lineRule="auto"/>
        <w:jc w:val="both"/>
      </w:pPr>
      <w:r w:rsidRPr="00F043B4">
        <w:t>Parametry minimalne silnika w agregacie:</w:t>
      </w:r>
    </w:p>
    <w:p w14:paraId="00589FF3" w14:textId="6B3EE9F4" w:rsidR="00C90834" w:rsidRPr="00F043B4" w:rsidRDefault="006A2E67" w:rsidP="00F043B4">
      <w:pPr>
        <w:pStyle w:val="Akapitzlist"/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Automatyczne wyłączenie silnika w przypadku niskiego poziomu płynu chłodzącego</w:t>
      </w:r>
    </w:p>
    <w:p w14:paraId="6F866F06" w14:textId="77777777" w:rsidR="00F84800" w:rsidRPr="00F043B4" w:rsidRDefault="00F84800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Zintegrowany układ podgrzewania bloku silnika umożliwiający łatwy rozruch w niskich temperaturach, w okresie zimowym</w:t>
      </w:r>
    </w:p>
    <w:p w14:paraId="738F8418" w14:textId="77777777" w:rsidR="00F84800" w:rsidRPr="00F043B4" w:rsidRDefault="00F84800" w:rsidP="00F043B4">
      <w:pPr>
        <w:pStyle w:val="Akapitzlist"/>
        <w:numPr>
          <w:ilvl w:val="0"/>
          <w:numId w:val="17"/>
        </w:numPr>
        <w:autoSpaceDE w:val="0"/>
        <w:autoSpaceDN w:val="0"/>
        <w:spacing w:line="288" w:lineRule="auto"/>
        <w:jc w:val="both"/>
      </w:pPr>
      <w:r w:rsidRPr="00F043B4">
        <w:t>Parametry minimalne prądnicy w agregacie:</w:t>
      </w:r>
    </w:p>
    <w:p w14:paraId="122AAE5C" w14:textId="1DBDAB8E" w:rsidR="00F84800" w:rsidRPr="00F043B4" w:rsidRDefault="00F84800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 xml:space="preserve">Krótkotrwała (10 sekund) wytrzymałość na przeciążenia: 300 % In </w:t>
      </w:r>
    </w:p>
    <w:p w14:paraId="47DAB1CD" w14:textId="780FE895" w:rsidR="000A5EB0" w:rsidRPr="00F043B4" w:rsidRDefault="000A5EB0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Sprawność 90%</w:t>
      </w:r>
    </w:p>
    <w:p w14:paraId="024E554A" w14:textId="2F885E1C" w:rsidR="00F84800" w:rsidRPr="00F043B4" w:rsidRDefault="00F84800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THD: &lt; 3 %</w:t>
      </w:r>
    </w:p>
    <w:p w14:paraId="23CA6DDD" w14:textId="77777777" w:rsidR="005D2AD9" w:rsidRPr="00F043B4" w:rsidRDefault="005D2AD9" w:rsidP="00F043B4">
      <w:pPr>
        <w:numPr>
          <w:ilvl w:val="0"/>
          <w:numId w:val="17"/>
        </w:numPr>
        <w:autoSpaceDE w:val="0"/>
        <w:autoSpaceDN w:val="0"/>
        <w:spacing w:line="288" w:lineRule="auto"/>
        <w:jc w:val="both"/>
      </w:pPr>
      <w:r w:rsidRPr="00F043B4">
        <w:t>Parametry minimalne sterownika:</w:t>
      </w:r>
    </w:p>
    <w:p w14:paraId="27E584C3" w14:textId="77777777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Panel z wyświetlaczem LCD oraz interfejsem graficznym</w:t>
      </w:r>
    </w:p>
    <w:p w14:paraId="78B5DF09" w14:textId="50D5EA0D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przegląd parametrów: obroty silnika, czas pracy, licznik motogodzin, napięcie baterii, ciśnienie oleju  wraz z kontrolą niskiego ciśnienia oleju, temperatura silnika, poziom paliwa (z informują o spadku ilości paliwa poniżej 10% pojemności zbiornika), analiza harmonicznych</w:t>
      </w:r>
    </w:p>
    <w:p w14:paraId="743A5FC4" w14:textId="77777777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możliwość zsynchronizowania do 10 jednostek agregatów</w:t>
      </w:r>
    </w:p>
    <w:p w14:paraId="7E78DA03" w14:textId="1DFCD66D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 xml:space="preserve">wyświetlanie stanów alarmowych (agregat nie znajduje się w trybie pracy automatycznej, wysoka temperatura cieczy chłodzącej, niska temperatura cieczy chłodzącej, niski poziom cieczy chłodzącej, wysoka temperatura oleju </w:t>
      </w:r>
      <w:r w:rsidRPr="00F043B4">
        <w:lastRenderedPageBreak/>
        <w:t>silnikowego). W przypadku wyświetlania stanów również w formie tekstowej, muszą one być w języku angielskim.</w:t>
      </w:r>
    </w:p>
    <w:p w14:paraId="7D509002" w14:textId="77777777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informacje: zwarcie/przeciążenie, zbyt niska / wysoka częstotliwość, niskie/wysokie napięcie agregatu, zbyt niskie obroty, awaria alternatora ładowarki akumulatora (brak ładowania), nieudany start. W przypadku wyświetlania informacji również w formie tekstowej, muszą one być w języku angielskim.</w:t>
      </w:r>
    </w:p>
    <w:p w14:paraId="16B1A4B9" w14:textId="77777777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pomiar AC – napięcie, natężenie, częstotliwość, współczynnik mocy, pomiar mocy czynnej i mocy biernej</w:t>
      </w:r>
    </w:p>
    <w:p w14:paraId="38091AC2" w14:textId="35E4B9E1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Możliwość sterowania silnikiem, jeśli ten wyposażony jest w elektroniczny moduł sterujący</w:t>
      </w:r>
    </w:p>
    <w:p w14:paraId="50545E3D" w14:textId="77777777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Dziennik zdarzeń</w:t>
      </w:r>
    </w:p>
    <w:p w14:paraId="4FB03B3A" w14:textId="77777777" w:rsidR="005D2AD9" w:rsidRPr="00F043B4" w:rsidRDefault="005D2AD9" w:rsidP="00F043B4">
      <w:pPr>
        <w:numPr>
          <w:ilvl w:val="2"/>
          <w:numId w:val="17"/>
        </w:numPr>
        <w:autoSpaceDE w:val="0"/>
        <w:autoSpaceDN w:val="0"/>
        <w:spacing w:line="288" w:lineRule="auto"/>
        <w:jc w:val="both"/>
      </w:pPr>
      <w:r w:rsidRPr="00F043B4">
        <w:t>Czas rejestracji: 30 dni</w:t>
      </w:r>
    </w:p>
    <w:p w14:paraId="36DCFD95" w14:textId="77777777" w:rsidR="005D2AD9" w:rsidRPr="00F043B4" w:rsidRDefault="005D2AD9" w:rsidP="00F043B4">
      <w:pPr>
        <w:numPr>
          <w:ilvl w:val="2"/>
          <w:numId w:val="17"/>
        </w:numPr>
        <w:autoSpaceDE w:val="0"/>
        <w:autoSpaceDN w:val="0"/>
        <w:spacing w:line="288" w:lineRule="auto"/>
        <w:jc w:val="both"/>
      </w:pPr>
      <w:r w:rsidRPr="00F043B4">
        <w:t>Pojemność pamięci: 1000 zdarzeń</w:t>
      </w:r>
    </w:p>
    <w:p w14:paraId="56F90AFA" w14:textId="77777777" w:rsidR="005D2AD9" w:rsidRPr="00F043B4" w:rsidRDefault="005D2AD9" w:rsidP="00F043B4">
      <w:pPr>
        <w:numPr>
          <w:ilvl w:val="2"/>
          <w:numId w:val="17"/>
        </w:numPr>
        <w:autoSpaceDE w:val="0"/>
        <w:autoSpaceDN w:val="0"/>
        <w:spacing w:line="288" w:lineRule="auto"/>
        <w:jc w:val="both"/>
      </w:pPr>
      <w:r w:rsidRPr="00F043B4">
        <w:t>Automatyczne nadpisywanie najstarszych zdarzeń</w:t>
      </w:r>
    </w:p>
    <w:p w14:paraId="2B270E76" w14:textId="1166ACA7" w:rsidR="005D2AD9" w:rsidRPr="00F043B4" w:rsidRDefault="005D2AD9" w:rsidP="00F043B4">
      <w:pPr>
        <w:numPr>
          <w:ilvl w:val="2"/>
          <w:numId w:val="17"/>
        </w:numPr>
        <w:autoSpaceDE w:val="0"/>
        <w:autoSpaceDN w:val="0"/>
        <w:spacing w:line="288" w:lineRule="auto"/>
        <w:jc w:val="both"/>
      </w:pPr>
      <w:r w:rsidRPr="00F043B4">
        <w:t>Eksport danych poprzez USB, SD, micro SD, RS232, RS485 lub</w:t>
      </w:r>
      <w:r w:rsidR="00E54BBF" w:rsidRPr="00F043B4">
        <w:t> </w:t>
      </w:r>
      <w:r w:rsidRPr="00F043B4">
        <w:t>Ethernet</w:t>
      </w:r>
    </w:p>
    <w:p w14:paraId="14627F17" w14:textId="77777777" w:rsidR="005D2AD9" w:rsidRPr="00F043B4" w:rsidRDefault="005D2AD9" w:rsidP="00F043B4">
      <w:pPr>
        <w:numPr>
          <w:ilvl w:val="2"/>
          <w:numId w:val="17"/>
        </w:numPr>
        <w:autoSpaceDE w:val="0"/>
        <w:autoSpaceDN w:val="0"/>
        <w:spacing w:line="288" w:lineRule="auto"/>
        <w:jc w:val="both"/>
      </w:pPr>
      <w:r w:rsidRPr="00F043B4">
        <w:t>Zdarzenia: uruchomienie i zatrzymanie agregatu, awarie, alarmy, zmiany parametrów pracy, przełączanie się między źródłami zasilania, serwis</w:t>
      </w:r>
    </w:p>
    <w:p w14:paraId="21B24E01" w14:textId="0DC122EF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Możliwość zdalnego odczytu parametrów, stanów i informacji, bez</w:t>
      </w:r>
      <w:r w:rsidR="00E54BBF" w:rsidRPr="00F043B4">
        <w:t> </w:t>
      </w:r>
      <w:r w:rsidRPr="00F043B4">
        <w:t>konieczności stosowania specjalistycznych urządzeń, tj. z użyciem komputera z systemem operacyjnym Windows, telefonu z systemem operacyjnym Android lub iOS lub tabletu z systemem operacyjnym Android, iOS lub iPadOS – wystarczająca możliwość zdalnej komunikacji z jednym z</w:t>
      </w:r>
      <w:r w:rsidR="00E54BBF" w:rsidRPr="00F043B4">
        <w:t> </w:t>
      </w:r>
      <w:r w:rsidRPr="00F043B4">
        <w:t xml:space="preserve">takich urządzeń, z wyłączeniem iPadOS. </w:t>
      </w:r>
    </w:p>
    <w:p w14:paraId="50673C20" w14:textId="77777777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Sygnał akustyczny - alarm</w:t>
      </w:r>
    </w:p>
    <w:p w14:paraId="2EAFADC1" w14:textId="77777777" w:rsidR="005D2AD9" w:rsidRPr="00F043B4" w:rsidRDefault="005D2AD9" w:rsidP="00F043B4">
      <w:pPr>
        <w:numPr>
          <w:ilvl w:val="1"/>
          <w:numId w:val="17"/>
        </w:numPr>
        <w:autoSpaceDE w:val="0"/>
        <w:autoSpaceDN w:val="0"/>
        <w:spacing w:line="288" w:lineRule="auto"/>
        <w:jc w:val="both"/>
      </w:pPr>
      <w:r w:rsidRPr="00F043B4">
        <w:t>Możliwość programowania okresów przeglądów po motogodzinach lub upływie określonego czasu</w:t>
      </w:r>
    </w:p>
    <w:p w14:paraId="2EC82F93" w14:textId="721C09FA" w:rsidR="008822DF" w:rsidRPr="00F043B4" w:rsidRDefault="008822DF" w:rsidP="00F043B4">
      <w:pPr>
        <w:numPr>
          <w:ilvl w:val="0"/>
          <w:numId w:val="17"/>
        </w:numPr>
        <w:autoSpaceDE w:val="0"/>
        <w:autoSpaceDN w:val="0"/>
        <w:spacing w:line="288" w:lineRule="auto"/>
        <w:jc w:val="both"/>
      </w:pPr>
      <w:r w:rsidRPr="00F043B4">
        <w:t>Wyposażony w akumulator(y) typu AGM o parametrach odpowiadających zastosowanemu silnikowi. Układ ładowania akumulatorów zasilany z sieci, jak i z</w:t>
      </w:r>
      <w:r w:rsidR="00E54BBF" w:rsidRPr="00F043B4">
        <w:t> </w:t>
      </w:r>
      <w:r w:rsidRPr="00F043B4">
        <w:t>agregatu, dostosowany do pojemności elektrycznej baterii akumulatorów, wyposażony w zabezpieczenia nadprądowe i nadnapięciowe.</w:t>
      </w:r>
    </w:p>
    <w:p w14:paraId="575EEBBC" w14:textId="5597B3D0" w:rsidR="00F84800" w:rsidRPr="00F043B4" w:rsidRDefault="008822DF" w:rsidP="00F043B4">
      <w:pPr>
        <w:numPr>
          <w:ilvl w:val="0"/>
          <w:numId w:val="17"/>
        </w:numPr>
        <w:autoSpaceDE w:val="0"/>
        <w:autoSpaceDN w:val="0"/>
        <w:spacing w:line="288" w:lineRule="auto"/>
        <w:jc w:val="both"/>
      </w:pPr>
      <w:r w:rsidRPr="00F043B4">
        <w:t>Dodatkowe oświetlenie własne LED zapewniające obsługę agregatu w warunkach ograniczonej widoczności.</w:t>
      </w:r>
    </w:p>
    <w:p w14:paraId="6F134D98" w14:textId="77777777" w:rsidR="00F67E4E" w:rsidRPr="00F043B4" w:rsidRDefault="00F67E4E" w:rsidP="00F043B4">
      <w:pPr>
        <w:autoSpaceDE w:val="0"/>
        <w:autoSpaceDN w:val="0"/>
        <w:spacing w:line="288" w:lineRule="auto"/>
        <w:ind w:left="1440"/>
        <w:jc w:val="both"/>
      </w:pPr>
    </w:p>
    <w:p w14:paraId="2D11AA44" w14:textId="77777777" w:rsidR="00F67E4E" w:rsidRPr="00F043B4" w:rsidRDefault="00F67E4E" w:rsidP="00F043B4">
      <w:pPr>
        <w:autoSpaceDE w:val="0"/>
        <w:autoSpaceDN w:val="0"/>
        <w:spacing w:line="288" w:lineRule="auto"/>
        <w:ind w:left="1440"/>
        <w:jc w:val="both"/>
      </w:pPr>
    </w:p>
    <w:p w14:paraId="207F6C21" w14:textId="77777777" w:rsidR="00F67E4E" w:rsidRPr="00F043B4" w:rsidRDefault="00F67E4E" w:rsidP="00F043B4">
      <w:pPr>
        <w:autoSpaceDE w:val="0"/>
        <w:autoSpaceDN w:val="0"/>
        <w:spacing w:line="288" w:lineRule="auto"/>
        <w:ind w:left="1440"/>
        <w:jc w:val="both"/>
      </w:pPr>
    </w:p>
    <w:p w14:paraId="3B4BB2B4" w14:textId="77777777" w:rsidR="00F67E4E" w:rsidRPr="00F043B4" w:rsidRDefault="00F67E4E" w:rsidP="00F043B4">
      <w:pPr>
        <w:autoSpaceDE w:val="0"/>
        <w:autoSpaceDN w:val="0"/>
        <w:spacing w:line="288" w:lineRule="auto"/>
        <w:ind w:left="1440"/>
        <w:jc w:val="both"/>
      </w:pPr>
    </w:p>
    <w:p w14:paraId="0B366FF3" w14:textId="77777777" w:rsidR="00424C3E" w:rsidRPr="00F043B4" w:rsidRDefault="00424C3E" w:rsidP="00F043B4">
      <w:pPr>
        <w:numPr>
          <w:ilvl w:val="0"/>
          <w:numId w:val="16"/>
        </w:numPr>
        <w:autoSpaceDE w:val="0"/>
        <w:autoSpaceDN w:val="0"/>
        <w:spacing w:line="288" w:lineRule="auto"/>
        <w:jc w:val="both"/>
        <w:rPr>
          <w:b/>
          <w:u w:val="single"/>
        </w:rPr>
        <w:sectPr w:rsidR="00424C3E" w:rsidRPr="00F043B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66D5F7" w14:textId="77777777" w:rsidR="00F67E4E" w:rsidRPr="00F043B4" w:rsidRDefault="00F67E4E" w:rsidP="00F043B4">
      <w:pPr>
        <w:numPr>
          <w:ilvl w:val="0"/>
          <w:numId w:val="16"/>
        </w:numPr>
        <w:autoSpaceDE w:val="0"/>
        <w:autoSpaceDN w:val="0"/>
        <w:spacing w:line="288" w:lineRule="auto"/>
        <w:jc w:val="both"/>
        <w:rPr>
          <w:u w:val="single"/>
        </w:rPr>
      </w:pPr>
      <w:r w:rsidRPr="00F043B4">
        <w:rPr>
          <w:b/>
          <w:u w:val="single"/>
        </w:rPr>
        <w:lastRenderedPageBreak/>
        <w:t>Wymagania dot. poszczególnych agregatów - o danej mocy znamionowej wg PN-ISO 8528 P.R.P, w uzupełnieniu do ww. wymogów</w:t>
      </w:r>
    </w:p>
    <w:p w14:paraId="2FFF3912" w14:textId="77777777" w:rsidR="00E20E6D" w:rsidRPr="00F043B4" w:rsidRDefault="00E20E6D" w:rsidP="00F043B4">
      <w:pPr>
        <w:autoSpaceDE w:val="0"/>
        <w:autoSpaceDN w:val="0"/>
        <w:spacing w:line="288" w:lineRule="auto"/>
        <w:ind w:left="360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027"/>
        <w:gridCol w:w="2388"/>
        <w:gridCol w:w="2155"/>
        <w:gridCol w:w="2155"/>
        <w:gridCol w:w="2155"/>
      </w:tblGrid>
      <w:tr w:rsidR="00424C3E" w:rsidRPr="00F043B4" w14:paraId="1DA1940F" w14:textId="5AD21E5A" w:rsidTr="00B64270">
        <w:tc>
          <w:tcPr>
            <w:tcW w:w="3114" w:type="dxa"/>
          </w:tcPr>
          <w:p w14:paraId="6F2B45E9" w14:textId="61A8CF44" w:rsidR="00424C3E" w:rsidRPr="00F043B4" w:rsidRDefault="00424C3E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WYMAGANIA</w:t>
            </w:r>
          </w:p>
        </w:tc>
        <w:tc>
          <w:tcPr>
            <w:tcW w:w="2027" w:type="dxa"/>
          </w:tcPr>
          <w:p w14:paraId="6A25EC09" w14:textId="3847DF54" w:rsidR="00424C3E" w:rsidRPr="00F043B4" w:rsidRDefault="00424C3E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 xml:space="preserve">50 – </w:t>
            </w:r>
            <w:r w:rsidR="000A5EB0" w:rsidRPr="00F043B4">
              <w:rPr>
                <w:b/>
              </w:rPr>
              <w:t>99</w:t>
            </w:r>
            <w:r w:rsidRPr="00F043B4">
              <w:rPr>
                <w:b/>
              </w:rPr>
              <w:t xml:space="preserve"> kVA</w:t>
            </w:r>
          </w:p>
        </w:tc>
        <w:tc>
          <w:tcPr>
            <w:tcW w:w="0" w:type="auto"/>
          </w:tcPr>
          <w:p w14:paraId="4BDD00CB" w14:textId="53C9DAC0" w:rsidR="00424C3E" w:rsidRPr="00F043B4" w:rsidRDefault="00B74313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100</w:t>
            </w:r>
            <w:r w:rsidR="00424C3E" w:rsidRPr="00F043B4">
              <w:rPr>
                <w:b/>
              </w:rPr>
              <w:t xml:space="preserve"> – 1</w:t>
            </w:r>
            <w:r w:rsidR="000A5EB0" w:rsidRPr="00F043B4">
              <w:rPr>
                <w:b/>
              </w:rPr>
              <w:t>99</w:t>
            </w:r>
            <w:r w:rsidR="00424C3E" w:rsidRPr="00F043B4">
              <w:rPr>
                <w:b/>
              </w:rPr>
              <w:t xml:space="preserve"> kVA</w:t>
            </w:r>
          </w:p>
        </w:tc>
        <w:tc>
          <w:tcPr>
            <w:tcW w:w="0" w:type="auto"/>
          </w:tcPr>
          <w:p w14:paraId="78743852" w14:textId="0F1474E7" w:rsidR="00424C3E" w:rsidRPr="00F043B4" w:rsidRDefault="00424C3E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 xml:space="preserve">200 – </w:t>
            </w:r>
            <w:r w:rsidR="00B74313" w:rsidRPr="00F043B4">
              <w:rPr>
                <w:b/>
              </w:rPr>
              <w:t>3</w:t>
            </w:r>
            <w:r w:rsidR="000A5EB0" w:rsidRPr="00F043B4">
              <w:rPr>
                <w:b/>
              </w:rPr>
              <w:t>5</w:t>
            </w:r>
            <w:r w:rsidRPr="00F043B4">
              <w:rPr>
                <w:b/>
              </w:rPr>
              <w:t>0 kVA</w:t>
            </w:r>
          </w:p>
        </w:tc>
        <w:tc>
          <w:tcPr>
            <w:tcW w:w="0" w:type="auto"/>
          </w:tcPr>
          <w:p w14:paraId="40AE64FD" w14:textId="1188B7D8" w:rsidR="00424C3E" w:rsidRPr="00F043B4" w:rsidRDefault="000A5EB0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351</w:t>
            </w:r>
            <w:r w:rsidR="00B74313" w:rsidRPr="00F043B4">
              <w:rPr>
                <w:b/>
              </w:rPr>
              <w:t xml:space="preserve"> – 600 kVA</w:t>
            </w:r>
          </w:p>
        </w:tc>
        <w:tc>
          <w:tcPr>
            <w:tcW w:w="0" w:type="auto"/>
          </w:tcPr>
          <w:p w14:paraId="628949DF" w14:textId="2F13C223" w:rsidR="00B74313" w:rsidRPr="00F043B4" w:rsidRDefault="000A5EB0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Powyżej</w:t>
            </w:r>
          </w:p>
          <w:p w14:paraId="49E34C6B" w14:textId="5FBCD33C" w:rsidR="00424C3E" w:rsidRPr="00F043B4" w:rsidRDefault="000A5EB0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6</w:t>
            </w:r>
            <w:r w:rsidR="00B74313" w:rsidRPr="00F043B4">
              <w:rPr>
                <w:b/>
              </w:rPr>
              <w:t>00 kVA</w:t>
            </w:r>
          </w:p>
        </w:tc>
      </w:tr>
      <w:tr w:rsidR="00B74313" w:rsidRPr="00F043B4" w14:paraId="03EDAFEE" w14:textId="2FF78A07" w:rsidTr="00B64270">
        <w:tc>
          <w:tcPr>
            <w:tcW w:w="3114" w:type="dxa"/>
          </w:tcPr>
          <w:p w14:paraId="5AB9B713" w14:textId="7D9216F9" w:rsidR="00B74313" w:rsidRPr="00F043B4" w:rsidRDefault="00B74313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Moc znamionowa wg PN-ISO 8528 P.R.P</w:t>
            </w:r>
            <w:r w:rsidR="00A40C27">
              <w:rPr>
                <w:b/>
              </w:rPr>
              <w:t xml:space="preserve"> (lub równoważnej)</w:t>
            </w:r>
          </w:p>
        </w:tc>
        <w:tc>
          <w:tcPr>
            <w:tcW w:w="2027" w:type="dxa"/>
          </w:tcPr>
          <w:p w14:paraId="21B13383" w14:textId="7E22069B" w:rsidR="00B74313" w:rsidRPr="00F043B4" w:rsidRDefault="00B74313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 xml:space="preserve">50 – </w:t>
            </w:r>
            <w:r w:rsidR="000A5EB0" w:rsidRPr="00F043B4">
              <w:t>99</w:t>
            </w:r>
            <w:r w:rsidRPr="00F043B4">
              <w:t xml:space="preserve"> kVA</w:t>
            </w:r>
          </w:p>
        </w:tc>
        <w:tc>
          <w:tcPr>
            <w:tcW w:w="0" w:type="auto"/>
          </w:tcPr>
          <w:p w14:paraId="2611F9BD" w14:textId="4E98D0C8" w:rsidR="00B74313" w:rsidRPr="00F043B4" w:rsidRDefault="00B74313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100 – 1</w:t>
            </w:r>
            <w:r w:rsidR="000A5EB0" w:rsidRPr="00F043B4">
              <w:t>99</w:t>
            </w:r>
            <w:r w:rsidRPr="00F043B4">
              <w:t xml:space="preserve"> kVA</w:t>
            </w:r>
          </w:p>
        </w:tc>
        <w:tc>
          <w:tcPr>
            <w:tcW w:w="0" w:type="auto"/>
          </w:tcPr>
          <w:p w14:paraId="1AA696A3" w14:textId="454CDF5E" w:rsidR="00B74313" w:rsidRPr="00F043B4" w:rsidRDefault="00B74313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200 – 3</w:t>
            </w:r>
            <w:r w:rsidR="000A5EB0" w:rsidRPr="00F043B4">
              <w:t>50</w:t>
            </w:r>
            <w:r w:rsidRPr="00F043B4">
              <w:t xml:space="preserve"> kVA</w:t>
            </w:r>
          </w:p>
        </w:tc>
        <w:tc>
          <w:tcPr>
            <w:tcW w:w="0" w:type="auto"/>
          </w:tcPr>
          <w:p w14:paraId="29727C41" w14:textId="61C4BEEA" w:rsidR="00B74313" w:rsidRPr="00F043B4" w:rsidRDefault="000A5EB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351</w:t>
            </w:r>
            <w:r w:rsidR="00B74313" w:rsidRPr="00F043B4">
              <w:t xml:space="preserve"> – 600 kVA</w:t>
            </w:r>
          </w:p>
        </w:tc>
        <w:tc>
          <w:tcPr>
            <w:tcW w:w="0" w:type="auto"/>
          </w:tcPr>
          <w:p w14:paraId="4676EA43" w14:textId="1C6D920D" w:rsidR="00B74313" w:rsidRPr="00F043B4" w:rsidRDefault="000A5EB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powyżej</w:t>
            </w:r>
            <w:r w:rsidR="00B74313" w:rsidRPr="00F043B4">
              <w:t xml:space="preserve"> </w:t>
            </w:r>
            <w:r w:rsidRPr="00F043B4">
              <w:t>6</w:t>
            </w:r>
            <w:r w:rsidR="00B74313" w:rsidRPr="00F043B4">
              <w:t>00 kVA</w:t>
            </w:r>
          </w:p>
        </w:tc>
      </w:tr>
      <w:tr w:rsidR="00E16740" w:rsidRPr="00F043B4" w14:paraId="5A0FF759" w14:textId="5B05DD43" w:rsidTr="00B64270">
        <w:tc>
          <w:tcPr>
            <w:tcW w:w="3114" w:type="dxa"/>
          </w:tcPr>
          <w:p w14:paraId="5082E03A" w14:textId="77777777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Maksymalna łączna waga agregatu z obudową, bez paliwa</w:t>
            </w:r>
          </w:p>
        </w:tc>
        <w:tc>
          <w:tcPr>
            <w:tcW w:w="2027" w:type="dxa"/>
          </w:tcPr>
          <w:p w14:paraId="47E0F5B3" w14:textId="71B07F6F" w:rsidR="00E16740" w:rsidRPr="00F043B4" w:rsidRDefault="00F56BBD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1 </w:t>
            </w:r>
            <w:r w:rsidR="002A3AB9" w:rsidRPr="00F043B4">
              <w:t>8</w:t>
            </w:r>
            <w:r w:rsidRPr="00F043B4">
              <w:t>00 kg</w:t>
            </w:r>
          </w:p>
        </w:tc>
        <w:tc>
          <w:tcPr>
            <w:tcW w:w="0" w:type="auto"/>
          </w:tcPr>
          <w:p w14:paraId="1C3EABB2" w14:textId="6B644EF5" w:rsidR="00E16740" w:rsidRPr="00F043B4" w:rsidRDefault="002A3AB9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3 5</w:t>
            </w:r>
            <w:r w:rsidR="00AF2E7C" w:rsidRPr="00F043B4">
              <w:t>00 kg</w:t>
            </w:r>
          </w:p>
        </w:tc>
        <w:tc>
          <w:tcPr>
            <w:tcW w:w="0" w:type="auto"/>
          </w:tcPr>
          <w:p w14:paraId="2B4D9313" w14:textId="2C17E064" w:rsidR="00E16740" w:rsidRPr="00F043B4" w:rsidRDefault="002A3AB9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6 000 kg</w:t>
            </w:r>
          </w:p>
        </w:tc>
        <w:tc>
          <w:tcPr>
            <w:tcW w:w="0" w:type="auto"/>
          </w:tcPr>
          <w:p w14:paraId="5C52A2AE" w14:textId="4BBA71FE" w:rsidR="00E16740" w:rsidRPr="00F043B4" w:rsidRDefault="002A3AB9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12</w:t>
            </w:r>
            <w:r w:rsidR="00E16740" w:rsidRPr="00F043B4">
              <w:t> 000 kg</w:t>
            </w:r>
          </w:p>
        </w:tc>
        <w:tc>
          <w:tcPr>
            <w:tcW w:w="0" w:type="auto"/>
          </w:tcPr>
          <w:p w14:paraId="0B0633C7" w14:textId="3D23188B" w:rsidR="00E16740" w:rsidRPr="00F043B4" w:rsidRDefault="002A3AB9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2</w:t>
            </w:r>
            <w:r w:rsidR="00E20E6D" w:rsidRPr="00F043B4">
              <w:t>5</w:t>
            </w:r>
            <w:r w:rsidR="00E16740" w:rsidRPr="00F043B4">
              <w:t> 000 kg</w:t>
            </w:r>
          </w:p>
        </w:tc>
      </w:tr>
      <w:tr w:rsidR="00AF2E7C" w:rsidRPr="00F043B4" w14:paraId="2BD8DF15" w14:textId="77777777" w:rsidTr="00B64270">
        <w:tc>
          <w:tcPr>
            <w:tcW w:w="3114" w:type="dxa"/>
          </w:tcPr>
          <w:p w14:paraId="10E73542" w14:textId="025146DF" w:rsidR="00AF2E7C" w:rsidRPr="00F043B4" w:rsidRDefault="00AF2E7C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Norma emisji spalin</w:t>
            </w:r>
          </w:p>
        </w:tc>
        <w:tc>
          <w:tcPr>
            <w:tcW w:w="2027" w:type="dxa"/>
          </w:tcPr>
          <w:p w14:paraId="10F2EB30" w14:textId="38FC5180" w:rsidR="00AF2E7C" w:rsidRPr="00F043B4" w:rsidRDefault="00AF2E7C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Nd.</w:t>
            </w:r>
          </w:p>
        </w:tc>
        <w:tc>
          <w:tcPr>
            <w:tcW w:w="0" w:type="auto"/>
          </w:tcPr>
          <w:p w14:paraId="701D008C" w14:textId="1EB6700B" w:rsidR="00AF2E7C" w:rsidRPr="00F043B4" w:rsidRDefault="00AF2E7C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Specjalistyczny agregat</w:t>
            </w:r>
            <w:r w:rsidR="00E8363A" w:rsidRPr="00F043B4">
              <w:t xml:space="preserve"> prądotwórczy</w:t>
            </w:r>
            <w:r w:rsidRPr="00F043B4">
              <w:t>: EU Stage II</w:t>
            </w:r>
          </w:p>
          <w:p w14:paraId="2C7BA653" w14:textId="77777777" w:rsidR="00E8363A" w:rsidRPr="00F043B4" w:rsidRDefault="00E8363A" w:rsidP="00F043B4">
            <w:pPr>
              <w:autoSpaceDE w:val="0"/>
              <w:autoSpaceDN w:val="0"/>
              <w:spacing w:line="288" w:lineRule="auto"/>
              <w:jc w:val="both"/>
            </w:pPr>
          </w:p>
          <w:p w14:paraId="52354B7B" w14:textId="39BB4BA4" w:rsidR="00AF2E7C" w:rsidRPr="00F043B4" w:rsidRDefault="00AF2E7C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Pozostałe: Nd.</w:t>
            </w:r>
          </w:p>
        </w:tc>
        <w:tc>
          <w:tcPr>
            <w:tcW w:w="0" w:type="auto"/>
          </w:tcPr>
          <w:p w14:paraId="05882DB9" w14:textId="77777777" w:rsidR="00E8363A" w:rsidRPr="00F043B4" w:rsidRDefault="00E8363A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 xml:space="preserve">Specjalistyczny agregat prądotwórczy: </w:t>
            </w:r>
          </w:p>
          <w:p w14:paraId="0C5F5B25" w14:textId="09BF28AD" w:rsidR="00E20E6D" w:rsidRPr="00F043B4" w:rsidRDefault="00E20E6D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EU Stage V</w:t>
            </w:r>
          </w:p>
          <w:p w14:paraId="619D8C9E" w14:textId="4138411B" w:rsidR="00AF2E7C" w:rsidRPr="00F043B4" w:rsidRDefault="00E20E6D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Pozostałe: Nd.</w:t>
            </w:r>
          </w:p>
        </w:tc>
        <w:tc>
          <w:tcPr>
            <w:tcW w:w="0" w:type="auto"/>
          </w:tcPr>
          <w:p w14:paraId="45D33207" w14:textId="77777777" w:rsidR="00E8363A" w:rsidRPr="00F043B4" w:rsidRDefault="00E8363A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 xml:space="preserve">Specjalistyczny agregat prądotwórczy: </w:t>
            </w:r>
          </w:p>
          <w:p w14:paraId="08A194D6" w14:textId="5F366BD2" w:rsidR="00E20E6D" w:rsidRPr="00F043B4" w:rsidRDefault="00E20E6D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EU Stage V</w:t>
            </w:r>
          </w:p>
          <w:p w14:paraId="7428688E" w14:textId="39D78DCA" w:rsidR="00AF2E7C" w:rsidRPr="00F043B4" w:rsidRDefault="00E20E6D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Pozostałe: Nd.</w:t>
            </w:r>
          </w:p>
        </w:tc>
        <w:tc>
          <w:tcPr>
            <w:tcW w:w="0" w:type="auto"/>
          </w:tcPr>
          <w:p w14:paraId="36ADCA11" w14:textId="77777777" w:rsidR="00E8363A" w:rsidRPr="00F043B4" w:rsidRDefault="00E8363A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 xml:space="preserve">Specjalistyczny agregat prądotwórczy: </w:t>
            </w:r>
          </w:p>
          <w:p w14:paraId="1D675321" w14:textId="6375BBAD" w:rsidR="00E20E6D" w:rsidRPr="00F043B4" w:rsidRDefault="00E20E6D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EU Stage V</w:t>
            </w:r>
          </w:p>
          <w:p w14:paraId="4D4003A6" w14:textId="1FECDD2D" w:rsidR="00AF2E7C" w:rsidRPr="00F043B4" w:rsidRDefault="00E20E6D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Pozostałe: Nd.</w:t>
            </w:r>
          </w:p>
        </w:tc>
      </w:tr>
      <w:tr w:rsidR="00E16740" w:rsidRPr="00F043B4" w14:paraId="7EF55BD8" w14:textId="07FD0401" w:rsidTr="00B64270">
        <w:tc>
          <w:tcPr>
            <w:tcW w:w="3114" w:type="dxa"/>
          </w:tcPr>
          <w:p w14:paraId="3190FB0F" w14:textId="77777777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Maksymalne wymiary zewnętrzne obudowy (dł. x szer. x wys.)</w:t>
            </w:r>
          </w:p>
        </w:tc>
        <w:tc>
          <w:tcPr>
            <w:tcW w:w="2027" w:type="dxa"/>
          </w:tcPr>
          <w:p w14:paraId="21FC2D3E" w14:textId="33351344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6,1 m x 2,5 m x 2,99 m</w:t>
            </w:r>
          </w:p>
        </w:tc>
        <w:tc>
          <w:tcPr>
            <w:tcW w:w="0" w:type="auto"/>
          </w:tcPr>
          <w:p w14:paraId="62605F3D" w14:textId="12E18CF8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6,1 m x 2,5 m x 2,99 m</w:t>
            </w:r>
          </w:p>
        </w:tc>
        <w:tc>
          <w:tcPr>
            <w:tcW w:w="0" w:type="auto"/>
          </w:tcPr>
          <w:p w14:paraId="26329E73" w14:textId="2FCB78D7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6,1 m x 2,5 m x 2,99 m</w:t>
            </w:r>
          </w:p>
        </w:tc>
        <w:tc>
          <w:tcPr>
            <w:tcW w:w="0" w:type="auto"/>
          </w:tcPr>
          <w:p w14:paraId="1E20B546" w14:textId="2BE79C02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6,1 m x 2,5 m x 2,99 m</w:t>
            </w:r>
          </w:p>
        </w:tc>
        <w:tc>
          <w:tcPr>
            <w:tcW w:w="0" w:type="auto"/>
          </w:tcPr>
          <w:p w14:paraId="108F625F" w14:textId="43206097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10 m x 2,5 m x 2,99 m</w:t>
            </w:r>
          </w:p>
        </w:tc>
      </w:tr>
      <w:tr w:rsidR="00E16740" w:rsidRPr="00F043B4" w14:paraId="13CBAF95" w14:textId="61AC905B" w:rsidTr="00B64270">
        <w:tc>
          <w:tcPr>
            <w:tcW w:w="3114" w:type="dxa"/>
          </w:tcPr>
          <w:p w14:paraId="46F443C7" w14:textId="35FDBC5C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  <w:rPr>
                <w:b/>
              </w:rPr>
            </w:pPr>
            <w:r w:rsidRPr="00F043B4">
              <w:rPr>
                <w:b/>
              </w:rPr>
              <w:t>Zbiornik paliwa zapewniający pracę agregatu, przy obciążeniu 75% mocy znamionowej przez min.</w:t>
            </w:r>
          </w:p>
        </w:tc>
        <w:tc>
          <w:tcPr>
            <w:tcW w:w="2027" w:type="dxa"/>
          </w:tcPr>
          <w:p w14:paraId="23D91677" w14:textId="25446393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20 godzin</w:t>
            </w:r>
          </w:p>
        </w:tc>
        <w:tc>
          <w:tcPr>
            <w:tcW w:w="0" w:type="auto"/>
          </w:tcPr>
          <w:p w14:paraId="5A3F9FA8" w14:textId="36BA473D" w:rsidR="00E16740" w:rsidRPr="00F043B4" w:rsidRDefault="00F56BBD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10 godzin</w:t>
            </w:r>
          </w:p>
        </w:tc>
        <w:tc>
          <w:tcPr>
            <w:tcW w:w="0" w:type="auto"/>
          </w:tcPr>
          <w:p w14:paraId="55DCD45C" w14:textId="0C5F90AA" w:rsidR="00E16740" w:rsidRPr="00F043B4" w:rsidRDefault="00E20E6D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9 godzin</w:t>
            </w:r>
          </w:p>
        </w:tc>
        <w:tc>
          <w:tcPr>
            <w:tcW w:w="0" w:type="auto"/>
          </w:tcPr>
          <w:p w14:paraId="74B39323" w14:textId="7EFEEF3E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8 godzin</w:t>
            </w:r>
          </w:p>
        </w:tc>
        <w:tc>
          <w:tcPr>
            <w:tcW w:w="0" w:type="auto"/>
          </w:tcPr>
          <w:p w14:paraId="342ADF7B" w14:textId="6A865159" w:rsidR="00E16740" w:rsidRPr="00F043B4" w:rsidRDefault="00E16740" w:rsidP="00F043B4">
            <w:pPr>
              <w:autoSpaceDE w:val="0"/>
              <w:autoSpaceDN w:val="0"/>
              <w:spacing w:line="288" w:lineRule="auto"/>
              <w:jc w:val="both"/>
            </w:pPr>
            <w:r w:rsidRPr="00F043B4">
              <w:t>7 godzin</w:t>
            </w:r>
          </w:p>
        </w:tc>
      </w:tr>
    </w:tbl>
    <w:p w14:paraId="081B98A9" w14:textId="77777777" w:rsidR="00F67E4E" w:rsidRPr="00F043B4" w:rsidRDefault="00F67E4E" w:rsidP="00F043B4">
      <w:pPr>
        <w:autoSpaceDE w:val="0"/>
        <w:autoSpaceDN w:val="0"/>
        <w:spacing w:line="288" w:lineRule="auto"/>
        <w:jc w:val="both"/>
      </w:pPr>
    </w:p>
    <w:sectPr w:rsidR="00F67E4E" w:rsidRPr="00F043B4" w:rsidSect="00424C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0095" w14:textId="77777777" w:rsidR="00113CB9" w:rsidRDefault="00113CB9">
      <w:r>
        <w:separator/>
      </w:r>
    </w:p>
  </w:endnote>
  <w:endnote w:type="continuationSeparator" w:id="0">
    <w:p w14:paraId="67B02FB4" w14:textId="77777777" w:rsidR="00113CB9" w:rsidRDefault="0011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FB0818" w14:textId="77777777" w:rsidR="00B64A37" w:rsidRDefault="00B64A37" w:rsidP="00B64A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55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656B9AB" w14:textId="77777777" w:rsidR="00B64A37" w:rsidRDefault="00B64A37" w:rsidP="00B64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2901" w14:textId="77777777" w:rsidR="00113CB9" w:rsidRDefault="00113CB9">
      <w:r>
        <w:separator/>
      </w:r>
    </w:p>
  </w:footnote>
  <w:footnote w:type="continuationSeparator" w:id="0">
    <w:p w14:paraId="0C891C5E" w14:textId="77777777" w:rsidR="00113CB9" w:rsidRDefault="0011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EAEC" w14:textId="0947C373" w:rsidR="00913199" w:rsidRPr="00913199" w:rsidRDefault="00913199" w:rsidP="00913199">
    <w:pPr>
      <w:jc w:val="both"/>
      <w:rPr>
        <w:rFonts w:ascii="Arial" w:hAnsi="Arial"/>
        <w:sz w:val="20"/>
      </w:rPr>
    </w:pPr>
  </w:p>
  <w:p w14:paraId="5D1E4569" w14:textId="2121C6A1" w:rsidR="00913199" w:rsidRPr="00913199" w:rsidRDefault="00913199" w:rsidP="00913199">
    <w:pPr>
      <w:tabs>
        <w:tab w:val="center" w:pos="4536"/>
        <w:tab w:val="right" w:pos="9072"/>
      </w:tabs>
      <w:jc w:val="both"/>
      <w:rPr>
        <w:rFonts w:ascii="Arial" w:hAnsi="Arial"/>
        <w:sz w:val="20"/>
      </w:rPr>
    </w:pPr>
    <w:r w:rsidRPr="00913199">
      <w:rPr>
        <w:rFonts w:ascii="Arial" w:hAnsi="Arial"/>
        <w:noProof/>
        <w:sz w:val="20"/>
      </w:rPr>
      <w:drawing>
        <wp:anchor distT="0" distB="0" distL="114300" distR="114300" simplePos="0" relativeHeight="251659264" behindDoc="1" locked="0" layoutInCell="1" allowOverlap="1" wp14:anchorId="6D59B9A3" wp14:editId="47F9E611">
          <wp:simplePos x="0" y="0"/>
          <wp:positionH relativeFrom="column">
            <wp:posOffset>3148330</wp:posOffset>
          </wp:positionH>
          <wp:positionV relativeFrom="paragraph">
            <wp:posOffset>194945</wp:posOffset>
          </wp:positionV>
          <wp:extent cx="2724150" cy="385445"/>
          <wp:effectExtent l="0" t="0" r="0" b="0"/>
          <wp:wrapNone/>
          <wp:docPr id="896013412" name="Obraz 896013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3199">
      <w:rPr>
        <w:rFonts w:ascii="Arial" w:hAnsi="Arial"/>
        <w:noProof/>
        <w:sz w:val="20"/>
      </w:rPr>
      <w:drawing>
        <wp:inline distT="0" distB="0" distL="0" distR="0" wp14:anchorId="2601B396" wp14:editId="2A5340E2">
          <wp:extent cx="2066925" cy="752475"/>
          <wp:effectExtent l="0" t="0" r="0" b="0"/>
          <wp:docPr id="1384502650" name="Obraz 138450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3199">
      <w:rPr>
        <w:rFonts w:ascii="Arial" w:hAnsi="Arial"/>
        <w:sz w:val="20"/>
      </w:rPr>
      <w:t xml:space="preserve">                         </w:t>
    </w:r>
  </w:p>
  <w:p w14:paraId="21644D2A" w14:textId="5B30EBC5" w:rsidR="00330E93" w:rsidRDefault="00330E93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50EE"/>
    <w:multiLevelType w:val="hybridMultilevel"/>
    <w:tmpl w:val="1CEE6142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241F6DA1"/>
    <w:multiLevelType w:val="hybridMultilevel"/>
    <w:tmpl w:val="9A5ADD4E"/>
    <w:lvl w:ilvl="0" w:tplc="7F626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C285D"/>
    <w:multiLevelType w:val="hybridMultilevel"/>
    <w:tmpl w:val="1BCCD636"/>
    <w:lvl w:ilvl="0" w:tplc="CFA0D4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A1D4F"/>
    <w:multiLevelType w:val="hybridMultilevel"/>
    <w:tmpl w:val="BE96380E"/>
    <w:lvl w:ilvl="0" w:tplc="C49AEF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714B3"/>
    <w:multiLevelType w:val="hybridMultilevel"/>
    <w:tmpl w:val="FC4C78D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55597E"/>
    <w:multiLevelType w:val="hybridMultilevel"/>
    <w:tmpl w:val="0B5C240E"/>
    <w:lvl w:ilvl="0" w:tplc="A2F652EC">
      <w:start w:val="12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64875"/>
    <w:multiLevelType w:val="hybridMultilevel"/>
    <w:tmpl w:val="BB86B7B0"/>
    <w:lvl w:ilvl="0" w:tplc="8D2669F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F143096"/>
    <w:multiLevelType w:val="hybridMultilevel"/>
    <w:tmpl w:val="6D4EE636"/>
    <w:lvl w:ilvl="0" w:tplc="68B21230">
      <w:start w:val="1"/>
      <w:numFmt w:val="decimal"/>
      <w:lvlText w:val="%1."/>
      <w:lvlJc w:val="left"/>
      <w:pPr>
        <w:ind w:left="1020" w:hanging="360"/>
      </w:pPr>
    </w:lvl>
    <w:lvl w:ilvl="1" w:tplc="00F88998">
      <w:start w:val="1"/>
      <w:numFmt w:val="decimal"/>
      <w:lvlText w:val="%2."/>
      <w:lvlJc w:val="left"/>
      <w:pPr>
        <w:ind w:left="1020" w:hanging="360"/>
      </w:pPr>
    </w:lvl>
    <w:lvl w:ilvl="2" w:tplc="32C4FB74">
      <w:start w:val="1"/>
      <w:numFmt w:val="decimal"/>
      <w:lvlText w:val="%3."/>
      <w:lvlJc w:val="left"/>
      <w:pPr>
        <w:ind w:left="1020" w:hanging="360"/>
      </w:pPr>
    </w:lvl>
    <w:lvl w:ilvl="3" w:tplc="34DC652E">
      <w:start w:val="1"/>
      <w:numFmt w:val="decimal"/>
      <w:lvlText w:val="%4."/>
      <w:lvlJc w:val="left"/>
      <w:pPr>
        <w:ind w:left="1020" w:hanging="360"/>
      </w:pPr>
    </w:lvl>
    <w:lvl w:ilvl="4" w:tplc="095A3022">
      <w:start w:val="1"/>
      <w:numFmt w:val="decimal"/>
      <w:lvlText w:val="%5."/>
      <w:lvlJc w:val="left"/>
      <w:pPr>
        <w:ind w:left="1020" w:hanging="360"/>
      </w:pPr>
    </w:lvl>
    <w:lvl w:ilvl="5" w:tplc="D5E0A9A2">
      <w:start w:val="1"/>
      <w:numFmt w:val="decimal"/>
      <w:lvlText w:val="%6."/>
      <w:lvlJc w:val="left"/>
      <w:pPr>
        <w:ind w:left="1020" w:hanging="360"/>
      </w:pPr>
    </w:lvl>
    <w:lvl w:ilvl="6" w:tplc="58BCBD16">
      <w:start w:val="1"/>
      <w:numFmt w:val="decimal"/>
      <w:lvlText w:val="%7."/>
      <w:lvlJc w:val="left"/>
      <w:pPr>
        <w:ind w:left="1020" w:hanging="360"/>
      </w:pPr>
    </w:lvl>
    <w:lvl w:ilvl="7" w:tplc="936C221C">
      <w:start w:val="1"/>
      <w:numFmt w:val="decimal"/>
      <w:lvlText w:val="%8."/>
      <w:lvlJc w:val="left"/>
      <w:pPr>
        <w:ind w:left="1020" w:hanging="360"/>
      </w:pPr>
    </w:lvl>
    <w:lvl w:ilvl="8" w:tplc="E800EC4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4A11C7E"/>
    <w:multiLevelType w:val="hybridMultilevel"/>
    <w:tmpl w:val="F74230DA"/>
    <w:lvl w:ilvl="0" w:tplc="0CC66B0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E05CB"/>
    <w:multiLevelType w:val="hybridMultilevel"/>
    <w:tmpl w:val="36803B74"/>
    <w:lvl w:ilvl="0" w:tplc="AD5891DC">
      <w:start w:val="10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8B6A0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38C7126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F2458"/>
    <w:multiLevelType w:val="hybridMultilevel"/>
    <w:tmpl w:val="16AAF334"/>
    <w:lvl w:ilvl="0" w:tplc="F736793E">
      <w:start w:val="8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80C51"/>
    <w:multiLevelType w:val="hybridMultilevel"/>
    <w:tmpl w:val="4BC4201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3C2C78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807DC"/>
    <w:multiLevelType w:val="hybridMultilevel"/>
    <w:tmpl w:val="DC3210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197023"/>
    <w:multiLevelType w:val="hybridMultilevel"/>
    <w:tmpl w:val="23860EEC"/>
    <w:lvl w:ilvl="0" w:tplc="04150011">
      <w:start w:val="8"/>
      <w:numFmt w:val="decimal"/>
      <w:lvlText w:val="%1)"/>
      <w:lvlJc w:val="left"/>
      <w:pPr>
        <w:ind w:left="2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2" w:hanging="360"/>
      </w:pPr>
    </w:lvl>
    <w:lvl w:ilvl="2" w:tplc="0415001B" w:tentative="1">
      <w:start w:val="1"/>
      <w:numFmt w:val="lowerRoman"/>
      <w:lvlText w:val="%3."/>
      <w:lvlJc w:val="right"/>
      <w:pPr>
        <w:ind w:left="3582" w:hanging="180"/>
      </w:pPr>
    </w:lvl>
    <w:lvl w:ilvl="3" w:tplc="0415000F" w:tentative="1">
      <w:start w:val="1"/>
      <w:numFmt w:val="decimal"/>
      <w:lvlText w:val="%4."/>
      <w:lvlJc w:val="left"/>
      <w:pPr>
        <w:ind w:left="4302" w:hanging="360"/>
      </w:pPr>
    </w:lvl>
    <w:lvl w:ilvl="4" w:tplc="04150019" w:tentative="1">
      <w:start w:val="1"/>
      <w:numFmt w:val="lowerLetter"/>
      <w:lvlText w:val="%5."/>
      <w:lvlJc w:val="left"/>
      <w:pPr>
        <w:ind w:left="5022" w:hanging="360"/>
      </w:pPr>
    </w:lvl>
    <w:lvl w:ilvl="5" w:tplc="0415001B" w:tentative="1">
      <w:start w:val="1"/>
      <w:numFmt w:val="lowerRoman"/>
      <w:lvlText w:val="%6."/>
      <w:lvlJc w:val="right"/>
      <w:pPr>
        <w:ind w:left="5742" w:hanging="180"/>
      </w:pPr>
    </w:lvl>
    <w:lvl w:ilvl="6" w:tplc="0415000F" w:tentative="1">
      <w:start w:val="1"/>
      <w:numFmt w:val="decimal"/>
      <w:lvlText w:val="%7."/>
      <w:lvlJc w:val="left"/>
      <w:pPr>
        <w:ind w:left="6462" w:hanging="360"/>
      </w:pPr>
    </w:lvl>
    <w:lvl w:ilvl="7" w:tplc="04150019" w:tentative="1">
      <w:start w:val="1"/>
      <w:numFmt w:val="lowerLetter"/>
      <w:lvlText w:val="%8."/>
      <w:lvlJc w:val="left"/>
      <w:pPr>
        <w:ind w:left="7182" w:hanging="360"/>
      </w:pPr>
    </w:lvl>
    <w:lvl w:ilvl="8" w:tplc="0415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14" w15:restartNumberingAfterBreak="0">
    <w:nsid w:val="5A996674"/>
    <w:multiLevelType w:val="hybridMultilevel"/>
    <w:tmpl w:val="41B07B90"/>
    <w:lvl w:ilvl="0" w:tplc="65DC2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D4271A"/>
    <w:multiLevelType w:val="hybridMultilevel"/>
    <w:tmpl w:val="658C0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E00966"/>
    <w:multiLevelType w:val="hybridMultilevel"/>
    <w:tmpl w:val="1AE29FAA"/>
    <w:lvl w:ilvl="0" w:tplc="967C9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A6F45"/>
    <w:multiLevelType w:val="hybridMultilevel"/>
    <w:tmpl w:val="1084EB5E"/>
    <w:lvl w:ilvl="0" w:tplc="618CB3E6">
      <w:start w:val="2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928618">
    <w:abstractNumId w:val="2"/>
  </w:num>
  <w:num w:numId="2" w16cid:durableId="1087312437">
    <w:abstractNumId w:val="15"/>
  </w:num>
  <w:num w:numId="3" w16cid:durableId="1652708423">
    <w:abstractNumId w:val="9"/>
  </w:num>
  <w:num w:numId="4" w16cid:durableId="1085689540">
    <w:abstractNumId w:val="5"/>
  </w:num>
  <w:num w:numId="5" w16cid:durableId="757750017">
    <w:abstractNumId w:val="1"/>
  </w:num>
  <w:num w:numId="6" w16cid:durableId="1741445896">
    <w:abstractNumId w:val="4"/>
  </w:num>
  <w:num w:numId="7" w16cid:durableId="1054696620">
    <w:abstractNumId w:val="6"/>
  </w:num>
  <w:num w:numId="8" w16cid:durableId="368534382">
    <w:abstractNumId w:val="13"/>
  </w:num>
  <w:num w:numId="9" w16cid:durableId="1885361599">
    <w:abstractNumId w:val="11"/>
  </w:num>
  <w:num w:numId="10" w16cid:durableId="1553928444">
    <w:abstractNumId w:val="0"/>
  </w:num>
  <w:num w:numId="11" w16cid:durableId="1294947298">
    <w:abstractNumId w:val="10"/>
  </w:num>
  <w:num w:numId="12" w16cid:durableId="999313038">
    <w:abstractNumId w:val="17"/>
  </w:num>
  <w:num w:numId="13" w16cid:durableId="1173839809">
    <w:abstractNumId w:val="12"/>
  </w:num>
  <w:num w:numId="14" w16cid:durableId="2115861238">
    <w:abstractNumId w:val="14"/>
  </w:num>
  <w:num w:numId="15" w16cid:durableId="117990064">
    <w:abstractNumId w:val="3"/>
  </w:num>
  <w:num w:numId="16" w16cid:durableId="1256935553">
    <w:abstractNumId w:val="16"/>
  </w:num>
  <w:num w:numId="17" w16cid:durableId="660351935">
    <w:abstractNumId w:val="8"/>
  </w:num>
  <w:num w:numId="18" w16cid:durableId="1878931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7"/>
    <w:rsid w:val="00003616"/>
    <w:rsid w:val="00004116"/>
    <w:rsid w:val="00022A21"/>
    <w:rsid w:val="00022EC9"/>
    <w:rsid w:val="000509C7"/>
    <w:rsid w:val="00055266"/>
    <w:rsid w:val="00063B8D"/>
    <w:rsid w:val="00073513"/>
    <w:rsid w:val="000769FE"/>
    <w:rsid w:val="00094002"/>
    <w:rsid w:val="000A1955"/>
    <w:rsid w:val="000A3AC9"/>
    <w:rsid w:val="000A5EB0"/>
    <w:rsid w:val="000B1F8C"/>
    <w:rsid w:val="000B591B"/>
    <w:rsid w:val="000D37B4"/>
    <w:rsid w:val="000E1334"/>
    <w:rsid w:val="000E28BB"/>
    <w:rsid w:val="000F54AC"/>
    <w:rsid w:val="000F67C0"/>
    <w:rsid w:val="000F6D2E"/>
    <w:rsid w:val="00100D1E"/>
    <w:rsid w:val="001055BE"/>
    <w:rsid w:val="00107388"/>
    <w:rsid w:val="00113CB9"/>
    <w:rsid w:val="001226F2"/>
    <w:rsid w:val="0012706C"/>
    <w:rsid w:val="00133C71"/>
    <w:rsid w:val="00141AA2"/>
    <w:rsid w:val="00142113"/>
    <w:rsid w:val="0016613A"/>
    <w:rsid w:val="00173D8F"/>
    <w:rsid w:val="001A5991"/>
    <w:rsid w:val="001B1B20"/>
    <w:rsid w:val="001E1C23"/>
    <w:rsid w:val="001E77BE"/>
    <w:rsid w:val="00201F67"/>
    <w:rsid w:val="0021353C"/>
    <w:rsid w:val="0024342C"/>
    <w:rsid w:val="002902C8"/>
    <w:rsid w:val="0029414A"/>
    <w:rsid w:val="0029494D"/>
    <w:rsid w:val="002A1E2F"/>
    <w:rsid w:val="002A26E7"/>
    <w:rsid w:val="002A3AB9"/>
    <w:rsid w:val="002C1E49"/>
    <w:rsid w:val="002C3029"/>
    <w:rsid w:val="002C329A"/>
    <w:rsid w:val="002C4805"/>
    <w:rsid w:val="002F7C89"/>
    <w:rsid w:val="00305773"/>
    <w:rsid w:val="00311319"/>
    <w:rsid w:val="00324C11"/>
    <w:rsid w:val="00330E93"/>
    <w:rsid w:val="00334969"/>
    <w:rsid w:val="00351D38"/>
    <w:rsid w:val="00354317"/>
    <w:rsid w:val="00357CAC"/>
    <w:rsid w:val="003642BA"/>
    <w:rsid w:val="0038699C"/>
    <w:rsid w:val="00390625"/>
    <w:rsid w:val="00391933"/>
    <w:rsid w:val="00394B6F"/>
    <w:rsid w:val="003A2C62"/>
    <w:rsid w:val="003A31B3"/>
    <w:rsid w:val="003A3C7E"/>
    <w:rsid w:val="003A5F4A"/>
    <w:rsid w:val="003B13B5"/>
    <w:rsid w:val="003C1437"/>
    <w:rsid w:val="003D3449"/>
    <w:rsid w:val="003E2F1F"/>
    <w:rsid w:val="0042007D"/>
    <w:rsid w:val="00424C3E"/>
    <w:rsid w:val="00440E12"/>
    <w:rsid w:val="00441883"/>
    <w:rsid w:val="004559F2"/>
    <w:rsid w:val="004570B6"/>
    <w:rsid w:val="004625C1"/>
    <w:rsid w:val="00493DAA"/>
    <w:rsid w:val="00494F64"/>
    <w:rsid w:val="004A162C"/>
    <w:rsid w:val="004A1C4B"/>
    <w:rsid w:val="004B1306"/>
    <w:rsid w:val="004E2A38"/>
    <w:rsid w:val="004F2A39"/>
    <w:rsid w:val="004F4F56"/>
    <w:rsid w:val="004F61F9"/>
    <w:rsid w:val="00505FBA"/>
    <w:rsid w:val="00515603"/>
    <w:rsid w:val="00526E4B"/>
    <w:rsid w:val="005307DC"/>
    <w:rsid w:val="00571976"/>
    <w:rsid w:val="005720EA"/>
    <w:rsid w:val="00587788"/>
    <w:rsid w:val="00593E87"/>
    <w:rsid w:val="00594C77"/>
    <w:rsid w:val="005A1DFC"/>
    <w:rsid w:val="005A1F18"/>
    <w:rsid w:val="005B56B9"/>
    <w:rsid w:val="005B5917"/>
    <w:rsid w:val="005D2AD9"/>
    <w:rsid w:val="005E37FB"/>
    <w:rsid w:val="005F567E"/>
    <w:rsid w:val="00603CB1"/>
    <w:rsid w:val="00605737"/>
    <w:rsid w:val="00607851"/>
    <w:rsid w:val="00616F42"/>
    <w:rsid w:val="0063170B"/>
    <w:rsid w:val="006353FA"/>
    <w:rsid w:val="006437A9"/>
    <w:rsid w:val="00660949"/>
    <w:rsid w:val="00666EFE"/>
    <w:rsid w:val="006715A2"/>
    <w:rsid w:val="00676CA5"/>
    <w:rsid w:val="006864AF"/>
    <w:rsid w:val="006867E6"/>
    <w:rsid w:val="006A085B"/>
    <w:rsid w:val="006A2E67"/>
    <w:rsid w:val="006A4DF5"/>
    <w:rsid w:val="006C52F3"/>
    <w:rsid w:val="006E23D4"/>
    <w:rsid w:val="006E7158"/>
    <w:rsid w:val="00702832"/>
    <w:rsid w:val="00706F09"/>
    <w:rsid w:val="00721EA3"/>
    <w:rsid w:val="00721FC9"/>
    <w:rsid w:val="00726ED4"/>
    <w:rsid w:val="00730C6B"/>
    <w:rsid w:val="00742DEB"/>
    <w:rsid w:val="00774550"/>
    <w:rsid w:val="007768BA"/>
    <w:rsid w:val="00783E9F"/>
    <w:rsid w:val="007A6CB9"/>
    <w:rsid w:val="007C41FC"/>
    <w:rsid w:val="007C7DB0"/>
    <w:rsid w:val="007D61CD"/>
    <w:rsid w:val="007E56F5"/>
    <w:rsid w:val="007F23D8"/>
    <w:rsid w:val="00804217"/>
    <w:rsid w:val="00851045"/>
    <w:rsid w:val="00856A0C"/>
    <w:rsid w:val="00875DE0"/>
    <w:rsid w:val="008822DF"/>
    <w:rsid w:val="008B109E"/>
    <w:rsid w:val="008C45CA"/>
    <w:rsid w:val="008D274E"/>
    <w:rsid w:val="008D389F"/>
    <w:rsid w:val="008D6F35"/>
    <w:rsid w:val="008D7562"/>
    <w:rsid w:val="008E24B5"/>
    <w:rsid w:val="009041F9"/>
    <w:rsid w:val="00913199"/>
    <w:rsid w:val="0092117A"/>
    <w:rsid w:val="00927931"/>
    <w:rsid w:val="00934B5E"/>
    <w:rsid w:val="00937E3A"/>
    <w:rsid w:val="00945963"/>
    <w:rsid w:val="00946141"/>
    <w:rsid w:val="00960B3F"/>
    <w:rsid w:val="009657D5"/>
    <w:rsid w:val="009744B9"/>
    <w:rsid w:val="009843E0"/>
    <w:rsid w:val="00997E5A"/>
    <w:rsid w:val="009A1187"/>
    <w:rsid w:val="009A6E71"/>
    <w:rsid w:val="009B3671"/>
    <w:rsid w:val="009C29B2"/>
    <w:rsid w:val="009C5765"/>
    <w:rsid w:val="009C7D8C"/>
    <w:rsid w:val="009D6610"/>
    <w:rsid w:val="009E05DE"/>
    <w:rsid w:val="009F483A"/>
    <w:rsid w:val="009F639E"/>
    <w:rsid w:val="009F78F6"/>
    <w:rsid w:val="00A0526B"/>
    <w:rsid w:val="00A06A1E"/>
    <w:rsid w:val="00A2507A"/>
    <w:rsid w:val="00A27AED"/>
    <w:rsid w:val="00A32375"/>
    <w:rsid w:val="00A40C27"/>
    <w:rsid w:val="00A425E3"/>
    <w:rsid w:val="00A55D57"/>
    <w:rsid w:val="00A645EB"/>
    <w:rsid w:val="00A8697F"/>
    <w:rsid w:val="00AB18F7"/>
    <w:rsid w:val="00AB33F7"/>
    <w:rsid w:val="00AB341C"/>
    <w:rsid w:val="00AB7356"/>
    <w:rsid w:val="00AD6899"/>
    <w:rsid w:val="00AE291D"/>
    <w:rsid w:val="00AE63E8"/>
    <w:rsid w:val="00AE7B6D"/>
    <w:rsid w:val="00AF2E7C"/>
    <w:rsid w:val="00AF380F"/>
    <w:rsid w:val="00B04545"/>
    <w:rsid w:val="00B261EF"/>
    <w:rsid w:val="00B27D55"/>
    <w:rsid w:val="00B3423E"/>
    <w:rsid w:val="00B43F63"/>
    <w:rsid w:val="00B64270"/>
    <w:rsid w:val="00B64A37"/>
    <w:rsid w:val="00B721E7"/>
    <w:rsid w:val="00B74313"/>
    <w:rsid w:val="00B90EB1"/>
    <w:rsid w:val="00BB3D12"/>
    <w:rsid w:val="00BC3066"/>
    <w:rsid w:val="00BC45E9"/>
    <w:rsid w:val="00BD5BA3"/>
    <w:rsid w:val="00C27662"/>
    <w:rsid w:val="00C37BA0"/>
    <w:rsid w:val="00C5221C"/>
    <w:rsid w:val="00C57138"/>
    <w:rsid w:val="00C672E8"/>
    <w:rsid w:val="00C717D7"/>
    <w:rsid w:val="00C74961"/>
    <w:rsid w:val="00C76B40"/>
    <w:rsid w:val="00C80494"/>
    <w:rsid w:val="00C83F05"/>
    <w:rsid w:val="00C90834"/>
    <w:rsid w:val="00CA7A6D"/>
    <w:rsid w:val="00CB1C2C"/>
    <w:rsid w:val="00CC0F93"/>
    <w:rsid w:val="00CD0536"/>
    <w:rsid w:val="00CD0C6A"/>
    <w:rsid w:val="00CD14D9"/>
    <w:rsid w:val="00CD67FE"/>
    <w:rsid w:val="00D03CC0"/>
    <w:rsid w:val="00D041B6"/>
    <w:rsid w:val="00D17246"/>
    <w:rsid w:val="00D27971"/>
    <w:rsid w:val="00D303B3"/>
    <w:rsid w:val="00DA07AD"/>
    <w:rsid w:val="00DA450A"/>
    <w:rsid w:val="00DB2814"/>
    <w:rsid w:val="00DC2F36"/>
    <w:rsid w:val="00DD0F94"/>
    <w:rsid w:val="00DF514E"/>
    <w:rsid w:val="00E01EB4"/>
    <w:rsid w:val="00E05247"/>
    <w:rsid w:val="00E1261B"/>
    <w:rsid w:val="00E14C84"/>
    <w:rsid w:val="00E14DED"/>
    <w:rsid w:val="00E16740"/>
    <w:rsid w:val="00E20E6D"/>
    <w:rsid w:val="00E219A9"/>
    <w:rsid w:val="00E22DC6"/>
    <w:rsid w:val="00E327E1"/>
    <w:rsid w:val="00E450D1"/>
    <w:rsid w:val="00E54BBF"/>
    <w:rsid w:val="00E8363A"/>
    <w:rsid w:val="00E87F4D"/>
    <w:rsid w:val="00E96BAF"/>
    <w:rsid w:val="00EA512A"/>
    <w:rsid w:val="00EB7ECA"/>
    <w:rsid w:val="00EC0576"/>
    <w:rsid w:val="00EC793D"/>
    <w:rsid w:val="00ED4489"/>
    <w:rsid w:val="00EE4D3B"/>
    <w:rsid w:val="00EE6D34"/>
    <w:rsid w:val="00EE7447"/>
    <w:rsid w:val="00EF4B1C"/>
    <w:rsid w:val="00F043B4"/>
    <w:rsid w:val="00F0563B"/>
    <w:rsid w:val="00F07D96"/>
    <w:rsid w:val="00F13229"/>
    <w:rsid w:val="00F24467"/>
    <w:rsid w:val="00F319C6"/>
    <w:rsid w:val="00F51F2E"/>
    <w:rsid w:val="00F56BBD"/>
    <w:rsid w:val="00F67194"/>
    <w:rsid w:val="00F67E4E"/>
    <w:rsid w:val="00F70540"/>
    <w:rsid w:val="00F71F8D"/>
    <w:rsid w:val="00F7274D"/>
    <w:rsid w:val="00F84800"/>
    <w:rsid w:val="00F86301"/>
    <w:rsid w:val="00F903B6"/>
    <w:rsid w:val="00F93522"/>
    <w:rsid w:val="00FC1885"/>
    <w:rsid w:val="00FC2E63"/>
    <w:rsid w:val="00FC3AEA"/>
    <w:rsid w:val="00FF0064"/>
    <w:rsid w:val="00FF2790"/>
    <w:rsid w:val="0FD7F8B6"/>
    <w:rsid w:val="7223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E69E7"/>
  <w15:chartTrackingRefBased/>
  <w15:docId w15:val="{60E7BCB0-341D-4C63-AFAB-F1A1E636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64A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4A37"/>
  </w:style>
  <w:style w:type="paragraph" w:styleId="Tekstdymka">
    <w:name w:val="Balloon Text"/>
    <w:basedOn w:val="Normalny"/>
    <w:link w:val="TekstdymkaZnak"/>
    <w:rsid w:val="00A64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3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30E93"/>
    <w:rPr>
      <w:sz w:val="24"/>
      <w:szCs w:val="24"/>
    </w:rPr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744B9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F67E4E"/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00D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0D1E"/>
    <w:rPr>
      <w:lang w:eastAsia="pl-PL"/>
    </w:rPr>
  </w:style>
  <w:style w:type="character" w:styleId="Odwoanieprzypisudolnego">
    <w:name w:val="footnote reference"/>
    <w:basedOn w:val="Domylnaczcionkaakapitu"/>
    <w:rsid w:val="00100D1E"/>
    <w:rPr>
      <w:vertAlign w:val="superscript"/>
    </w:rPr>
  </w:style>
  <w:style w:type="character" w:styleId="Odwoaniedokomentarza">
    <w:name w:val="annotation reference"/>
    <w:basedOn w:val="Domylnaczcionkaakapitu"/>
    <w:rsid w:val="00A052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52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526B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05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526B"/>
    <w:rPr>
      <w:b/>
      <w:bCs/>
      <w:lang w:eastAsia="pl-PL"/>
    </w:rPr>
  </w:style>
  <w:style w:type="paragraph" w:styleId="Poprawka">
    <w:name w:val="Revision"/>
    <w:hidden/>
    <w:uiPriority w:val="99"/>
    <w:semiHidden/>
    <w:rsid w:val="00E22DC6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8A60-8E2F-4F9F-8B6F-90E387F1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1955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warunków zamkniętego, dwustopniowego przetargu</vt:lpstr>
    </vt:vector>
  </TitlesOfParts>
  <Company>arm</Company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warunków zamkniętego, dwustopniowego przetargu</dc:title>
  <dc:subject/>
  <dc:creator>iwma</dc:creator>
  <cp:keywords/>
  <dc:description/>
  <cp:lastModifiedBy>Kostrzewa Tomasz</cp:lastModifiedBy>
  <cp:revision>6</cp:revision>
  <cp:lastPrinted>2022-10-03T21:21:00Z</cp:lastPrinted>
  <dcterms:created xsi:type="dcterms:W3CDTF">2026-02-13T14:00:00Z</dcterms:created>
  <dcterms:modified xsi:type="dcterms:W3CDTF">2026-02-13T14:26:00Z</dcterms:modified>
</cp:coreProperties>
</file>